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083" w:rsidRPr="00D06EF2" w:rsidRDefault="002A2137" w:rsidP="00D06EF2">
      <w:pPr>
        <w:jc w:val="center"/>
        <w:rPr>
          <w:b/>
          <w:sz w:val="44"/>
          <w:szCs w:val="44"/>
        </w:rPr>
      </w:pPr>
      <w:r>
        <w:rPr>
          <w:rFonts w:hint="eastAsia"/>
          <w:b/>
          <w:sz w:val="44"/>
          <w:szCs w:val="44"/>
        </w:rPr>
        <w:t>可研报告（尽职调查）模板</w:t>
      </w:r>
    </w:p>
    <w:p w:rsidR="00D27D1B" w:rsidRPr="00D27D1B" w:rsidRDefault="00D27D1B" w:rsidP="00D27D1B">
      <w:pPr>
        <w:pStyle w:val="a9"/>
        <w:numPr>
          <w:ilvl w:val="0"/>
          <w:numId w:val="29"/>
        </w:numPr>
        <w:ind w:firstLineChars="0"/>
        <w:rPr>
          <w:b/>
          <w:sz w:val="32"/>
          <w:szCs w:val="32"/>
        </w:rPr>
      </w:pPr>
      <w:r w:rsidRPr="00D27D1B">
        <w:rPr>
          <w:rFonts w:hint="eastAsia"/>
          <w:b/>
          <w:sz w:val="32"/>
          <w:szCs w:val="32"/>
        </w:rPr>
        <w:t>项目投资目的、背景、必要性</w:t>
      </w:r>
    </w:p>
    <w:p w:rsidR="00D27D1B" w:rsidRPr="0097608E" w:rsidRDefault="00D27D1B" w:rsidP="0097608E">
      <w:pPr>
        <w:rPr>
          <w:color w:val="FF0000"/>
          <w:sz w:val="24"/>
          <w:szCs w:val="24"/>
        </w:rPr>
      </w:pPr>
    </w:p>
    <w:p w:rsidR="00FD3CCD" w:rsidRPr="00D06EF2" w:rsidRDefault="00D27D1B" w:rsidP="00D06EF2">
      <w:pPr>
        <w:rPr>
          <w:b/>
          <w:sz w:val="32"/>
          <w:szCs w:val="32"/>
        </w:rPr>
      </w:pPr>
      <w:r>
        <w:rPr>
          <w:rFonts w:hint="eastAsia"/>
          <w:b/>
          <w:sz w:val="32"/>
          <w:szCs w:val="32"/>
        </w:rPr>
        <w:t>二</w:t>
      </w:r>
      <w:r w:rsidR="00AC01E4" w:rsidRPr="00D06EF2">
        <w:rPr>
          <w:rFonts w:hint="eastAsia"/>
          <w:b/>
          <w:sz w:val="32"/>
          <w:szCs w:val="32"/>
        </w:rPr>
        <w:t>、基金概要</w:t>
      </w:r>
    </w:p>
    <w:p w:rsidR="00FD3CCD" w:rsidRPr="00D06EF2" w:rsidRDefault="00AC01E4" w:rsidP="00D06EF2">
      <w:pPr>
        <w:rPr>
          <w:b/>
          <w:sz w:val="28"/>
          <w:szCs w:val="28"/>
        </w:rPr>
      </w:pPr>
      <w:r w:rsidRPr="00D06EF2">
        <w:rPr>
          <w:rFonts w:hint="eastAsia"/>
          <w:b/>
          <w:sz w:val="28"/>
          <w:szCs w:val="28"/>
        </w:rPr>
        <w:t>1</w:t>
      </w:r>
      <w:r w:rsidRPr="00D06EF2">
        <w:rPr>
          <w:rFonts w:hint="eastAsia"/>
          <w:b/>
          <w:sz w:val="28"/>
          <w:szCs w:val="28"/>
        </w:rPr>
        <w:t>、基金基本情况</w:t>
      </w:r>
    </w:p>
    <w:tbl>
      <w:tblPr>
        <w:tblW w:w="94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755"/>
        <w:gridCol w:w="7695"/>
      </w:tblGrid>
      <w:tr w:rsidR="00FD3CCD" w:rsidRPr="001A2D58">
        <w:trPr>
          <w:trHeight w:val="183"/>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color w:val="000000"/>
                <w:kern w:val="0"/>
                <w:sz w:val="24"/>
                <w:szCs w:val="24"/>
              </w:rPr>
              <w:t>基金名称</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535BC6">
            <w:pPr>
              <w:widowControl/>
              <w:spacing w:line="360" w:lineRule="auto"/>
              <w:jc w:val="left"/>
              <w:rPr>
                <w:rFonts w:ascii="宋体" w:hAnsi="宋体" w:cs="宋体"/>
                <w:color w:val="FF0000"/>
                <w:kern w:val="0"/>
                <w:sz w:val="24"/>
                <w:szCs w:val="24"/>
              </w:rPr>
            </w:pPr>
            <w:r>
              <w:rPr>
                <w:rFonts w:hint="eastAsia"/>
                <w:sz w:val="24"/>
                <w:szCs w:val="24"/>
              </w:rPr>
              <w:t>苏州</w:t>
            </w:r>
            <w:r>
              <w:rPr>
                <w:rFonts w:hint="eastAsia"/>
                <w:color w:val="FF0000"/>
                <w:sz w:val="24"/>
                <w:szCs w:val="24"/>
              </w:rPr>
              <w:t>XX</w:t>
            </w:r>
            <w:r w:rsidR="00267EFA">
              <w:rPr>
                <w:rFonts w:hint="eastAsia"/>
                <w:color w:val="FF0000"/>
                <w:sz w:val="24"/>
                <w:szCs w:val="24"/>
              </w:rPr>
              <w:t>XX</w:t>
            </w:r>
            <w:r>
              <w:rPr>
                <w:rFonts w:hint="eastAsia"/>
                <w:sz w:val="24"/>
                <w:szCs w:val="24"/>
              </w:rPr>
              <w:t>（有限合伙）（暂定名，以工商注册为准）</w:t>
            </w:r>
          </w:p>
        </w:tc>
      </w:tr>
      <w:tr w:rsidR="00FD3CCD" w:rsidRPr="001A2D58">
        <w:trPr>
          <w:trHeight w:val="183"/>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color w:val="000000"/>
                <w:kern w:val="0"/>
                <w:sz w:val="24"/>
                <w:szCs w:val="24"/>
              </w:rPr>
              <w:t>基金组织形式</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535BC6">
            <w:pPr>
              <w:widowControl/>
              <w:spacing w:line="360" w:lineRule="auto"/>
              <w:jc w:val="left"/>
              <w:rPr>
                <w:rFonts w:ascii="宋体" w:hAnsi="宋体" w:cs="宋体"/>
                <w:color w:val="FF0000"/>
                <w:kern w:val="0"/>
                <w:sz w:val="24"/>
                <w:szCs w:val="24"/>
              </w:rPr>
            </w:pPr>
            <w:r>
              <w:rPr>
                <w:rFonts w:hint="eastAsia"/>
                <w:color w:val="FF0000"/>
                <w:sz w:val="24"/>
                <w:szCs w:val="24"/>
              </w:rPr>
              <w:t>有限合伙</w:t>
            </w:r>
          </w:p>
        </w:tc>
      </w:tr>
      <w:tr w:rsidR="00FD3CCD" w:rsidRPr="001A2D58">
        <w:trPr>
          <w:trHeight w:val="176"/>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sz w:val="24"/>
                <w:szCs w:val="24"/>
              </w:rPr>
            </w:pPr>
            <w:r w:rsidRPr="001A2D58">
              <w:rPr>
                <w:rFonts w:ascii="宋体" w:hAnsi="宋体" w:cs="宋体" w:hint="eastAsia"/>
                <w:sz w:val="24"/>
                <w:szCs w:val="24"/>
              </w:rPr>
              <w:t>基金结构</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267EFA">
            <w:pPr>
              <w:widowControl/>
              <w:spacing w:line="360" w:lineRule="auto"/>
              <w:jc w:val="left"/>
              <w:rPr>
                <w:rFonts w:ascii="宋体" w:hAnsi="宋体" w:cs="宋体"/>
                <w:color w:val="FF0000"/>
                <w:sz w:val="24"/>
                <w:szCs w:val="24"/>
              </w:rPr>
            </w:pPr>
            <w:r>
              <w:rPr>
                <w:rFonts w:hint="eastAsia"/>
                <w:color w:val="FF0000"/>
                <w:sz w:val="24"/>
                <w:szCs w:val="24"/>
              </w:rPr>
              <w:t>XXXX</w:t>
            </w:r>
            <w:r>
              <w:rPr>
                <w:rFonts w:hint="eastAsia"/>
                <w:color w:val="FF0000"/>
                <w:sz w:val="24"/>
                <w:szCs w:val="24"/>
              </w:rPr>
              <w:t>结构</w:t>
            </w:r>
          </w:p>
        </w:tc>
      </w:tr>
      <w:tr w:rsidR="00FD3CCD" w:rsidRPr="001A2D58" w:rsidTr="00535BC6">
        <w:trPr>
          <w:trHeight w:val="355"/>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color w:val="FF0000"/>
                <w:kern w:val="0"/>
                <w:sz w:val="24"/>
                <w:szCs w:val="24"/>
              </w:rPr>
            </w:pPr>
            <w:r w:rsidRPr="001A2D58">
              <w:rPr>
                <w:rFonts w:ascii="宋体" w:hAnsi="宋体" w:cs="宋体" w:hint="eastAsia"/>
                <w:sz w:val="24"/>
                <w:szCs w:val="24"/>
              </w:rPr>
              <w:t>注册地</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97608E">
            <w:pPr>
              <w:widowControl/>
              <w:spacing w:line="360" w:lineRule="auto"/>
              <w:jc w:val="left"/>
              <w:rPr>
                <w:rFonts w:ascii="宋体" w:hAnsi="宋体" w:cs="宋体"/>
                <w:color w:val="FF0000"/>
                <w:sz w:val="24"/>
                <w:szCs w:val="24"/>
              </w:rPr>
            </w:pPr>
            <w:r w:rsidRPr="0097608E">
              <w:rPr>
                <w:rFonts w:hint="eastAsia"/>
                <w:color w:val="FF0000"/>
                <w:sz w:val="24"/>
                <w:szCs w:val="24"/>
              </w:rPr>
              <w:t>XXXX</w:t>
            </w:r>
          </w:p>
        </w:tc>
      </w:tr>
      <w:tr w:rsidR="00FD3CCD" w:rsidRPr="001A2D58">
        <w:trPr>
          <w:trHeight w:val="183"/>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color w:val="000000"/>
                <w:kern w:val="0"/>
                <w:sz w:val="24"/>
                <w:szCs w:val="24"/>
              </w:rPr>
              <w:t>基金管理人</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7D73DC">
            <w:pPr>
              <w:widowControl/>
              <w:spacing w:line="360" w:lineRule="auto"/>
              <w:jc w:val="left"/>
              <w:rPr>
                <w:rFonts w:ascii="宋体" w:hAnsi="宋体" w:cs="宋体"/>
                <w:color w:val="FF0000"/>
                <w:sz w:val="24"/>
                <w:szCs w:val="24"/>
              </w:rPr>
            </w:pPr>
            <w:r>
              <w:rPr>
                <w:rFonts w:hint="eastAsia"/>
                <w:color w:val="FF0000"/>
                <w:sz w:val="24"/>
                <w:szCs w:val="24"/>
              </w:rPr>
              <w:t>XXX</w:t>
            </w:r>
            <w:r w:rsidRPr="007D73DC">
              <w:rPr>
                <w:rFonts w:hint="eastAsia"/>
                <w:sz w:val="24"/>
                <w:szCs w:val="24"/>
              </w:rPr>
              <w:t>投资管理公司</w:t>
            </w:r>
          </w:p>
        </w:tc>
      </w:tr>
      <w:tr w:rsidR="00FD3CCD" w:rsidRPr="001A2D58">
        <w:trPr>
          <w:trHeight w:val="183"/>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kern w:val="0"/>
                <w:sz w:val="24"/>
                <w:szCs w:val="24"/>
              </w:rPr>
              <w:t>投资产业领域</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7D73DC">
            <w:pPr>
              <w:widowControl/>
              <w:spacing w:line="360" w:lineRule="auto"/>
              <w:jc w:val="left"/>
              <w:rPr>
                <w:rFonts w:ascii="宋体" w:hAnsi="宋体" w:cs="宋体"/>
                <w:sz w:val="24"/>
                <w:szCs w:val="24"/>
              </w:rPr>
            </w:pPr>
            <w:r>
              <w:rPr>
                <w:rFonts w:hint="eastAsia"/>
                <w:color w:val="FF0000"/>
                <w:sz w:val="24"/>
                <w:szCs w:val="24"/>
              </w:rPr>
              <w:t>XXX</w:t>
            </w:r>
            <w:r w:rsidRPr="007D73DC">
              <w:rPr>
                <w:rFonts w:hint="eastAsia"/>
                <w:sz w:val="24"/>
                <w:szCs w:val="24"/>
              </w:rPr>
              <w:t>行业</w:t>
            </w:r>
          </w:p>
        </w:tc>
      </w:tr>
      <w:tr w:rsidR="00FD3CCD" w:rsidRPr="001A2D58">
        <w:trPr>
          <w:trHeight w:val="183"/>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kern w:val="0"/>
                <w:sz w:val="24"/>
                <w:szCs w:val="24"/>
              </w:rPr>
              <w:t>基金规模</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535BC6">
            <w:pPr>
              <w:widowControl/>
              <w:spacing w:line="360" w:lineRule="auto"/>
              <w:jc w:val="left"/>
              <w:rPr>
                <w:rFonts w:ascii="宋体" w:hAnsi="宋体" w:cs="宋体"/>
                <w:sz w:val="24"/>
                <w:szCs w:val="24"/>
              </w:rPr>
            </w:pPr>
            <w:r>
              <w:rPr>
                <w:rFonts w:hint="eastAsia"/>
                <w:color w:val="FF0000"/>
                <w:sz w:val="24"/>
                <w:szCs w:val="24"/>
              </w:rPr>
              <w:t>XXX</w:t>
            </w:r>
            <w:r>
              <w:rPr>
                <w:rFonts w:hint="eastAsia"/>
                <w:sz w:val="24"/>
                <w:szCs w:val="24"/>
              </w:rPr>
              <w:t>亿元人民币，首期出资</w:t>
            </w:r>
            <w:r>
              <w:rPr>
                <w:rFonts w:hint="eastAsia"/>
                <w:color w:val="FF0000"/>
                <w:sz w:val="24"/>
                <w:szCs w:val="24"/>
              </w:rPr>
              <w:t>XX</w:t>
            </w:r>
            <w:r>
              <w:rPr>
                <w:rFonts w:hint="eastAsia"/>
                <w:sz w:val="24"/>
                <w:szCs w:val="24"/>
              </w:rPr>
              <w:t xml:space="preserve"> %</w:t>
            </w:r>
          </w:p>
        </w:tc>
      </w:tr>
      <w:tr w:rsidR="00FD3CCD" w:rsidRPr="001A2D58">
        <w:trPr>
          <w:trHeight w:val="366"/>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sz w:val="24"/>
                <w:szCs w:val="24"/>
              </w:rPr>
            </w:pPr>
            <w:r w:rsidRPr="001A2D58">
              <w:rPr>
                <w:rFonts w:ascii="宋体" w:hAnsi="宋体" w:cs="宋体" w:hint="eastAsia"/>
                <w:sz w:val="24"/>
                <w:szCs w:val="24"/>
              </w:rPr>
              <w:t>基金存续期限</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535BC6" w:rsidRDefault="00535BC6" w:rsidP="00535BC6">
            <w:pPr>
              <w:spacing w:line="360" w:lineRule="auto"/>
              <w:rPr>
                <w:sz w:val="24"/>
                <w:szCs w:val="24"/>
              </w:rPr>
            </w:pPr>
            <w:r>
              <w:rPr>
                <w:rFonts w:hint="eastAsia"/>
                <w:color w:val="FF0000"/>
                <w:sz w:val="24"/>
                <w:szCs w:val="24"/>
              </w:rPr>
              <w:t>X+X</w:t>
            </w:r>
            <w:r>
              <w:rPr>
                <w:rFonts w:hint="eastAsia"/>
                <w:sz w:val="24"/>
                <w:szCs w:val="24"/>
              </w:rPr>
              <w:t>年（基金存续期限为自领取营业执照之日起</w:t>
            </w:r>
            <w:r>
              <w:rPr>
                <w:rFonts w:hint="eastAsia"/>
                <w:color w:val="FF0000"/>
                <w:sz w:val="24"/>
                <w:szCs w:val="24"/>
              </w:rPr>
              <w:t>X</w:t>
            </w:r>
            <w:r>
              <w:rPr>
                <w:rFonts w:hint="eastAsia"/>
                <w:sz w:val="24"/>
                <w:szCs w:val="24"/>
              </w:rPr>
              <w:t>年，其中投资期</w:t>
            </w:r>
            <w:r>
              <w:rPr>
                <w:rFonts w:hint="eastAsia"/>
                <w:color w:val="FF0000"/>
                <w:sz w:val="24"/>
                <w:szCs w:val="24"/>
              </w:rPr>
              <w:t>X</w:t>
            </w:r>
            <w:r>
              <w:rPr>
                <w:rFonts w:hint="eastAsia"/>
                <w:sz w:val="24"/>
                <w:szCs w:val="24"/>
              </w:rPr>
              <w:t>年，管理及退出期</w:t>
            </w:r>
            <w:r>
              <w:rPr>
                <w:rFonts w:hint="eastAsia"/>
                <w:color w:val="FF0000"/>
                <w:sz w:val="24"/>
                <w:szCs w:val="24"/>
              </w:rPr>
              <w:t>X</w:t>
            </w:r>
            <w:r>
              <w:rPr>
                <w:rFonts w:hint="eastAsia"/>
                <w:sz w:val="24"/>
                <w:szCs w:val="24"/>
              </w:rPr>
              <w:t>年。基金存续期满，届时经全体合伙人一致同意可以延期</w:t>
            </w:r>
            <w:r>
              <w:rPr>
                <w:rFonts w:hint="eastAsia"/>
                <w:color w:val="FF0000"/>
                <w:sz w:val="24"/>
                <w:szCs w:val="24"/>
              </w:rPr>
              <w:t>X</w:t>
            </w:r>
            <w:r>
              <w:rPr>
                <w:rFonts w:hint="eastAsia"/>
                <w:sz w:val="24"/>
                <w:szCs w:val="24"/>
              </w:rPr>
              <w:t>年。）</w:t>
            </w:r>
          </w:p>
        </w:tc>
      </w:tr>
      <w:tr w:rsidR="00FD3CCD" w:rsidRPr="001A2D58">
        <w:trPr>
          <w:trHeight w:val="366"/>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sz w:val="24"/>
                <w:szCs w:val="24"/>
              </w:rPr>
            </w:pPr>
            <w:r w:rsidRPr="001A2D58">
              <w:rPr>
                <w:rFonts w:ascii="宋体" w:hAnsi="宋体" w:cs="宋体" w:hint="eastAsia"/>
                <w:sz w:val="24"/>
                <w:szCs w:val="24"/>
              </w:rPr>
              <w:t>基金托管</w:t>
            </w:r>
          </w:p>
          <w:p w:rsidR="00FD3CCD" w:rsidRPr="001A2D58" w:rsidRDefault="00AC01E4">
            <w:pPr>
              <w:widowControl/>
              <w:spacing w:line="360" w:lineRule="auto"/>
              <w:jc w:val="center"/>
              <w:rPr>
                <w:rFonts w:ascii="宋体" w:hAnsi="宋体" w:cs="宋体"/>
                <w:sz w:val="24"/>
                <w:szCs w:val="24"/>
              </w:rPr>
            </w:pPr>
            <w:r w:rsidRPr="001A2D58">
              <w:rPr>
                <w:rFonts w:ascii="宋体" w:hAnsi="宋体" w:cs="宋体" w:hint="eastAsia"/>
                <w:sz w:val="24"/>
                <w:szCs w:val="24"/>
              </w:rPr>
              <w:t>及管理费</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535BC6" w:rsidRDefault="00535BC6" w:rsidP="00535BC6">
            <w:pPr>
              <w:spacing w:line="360" w:lineRule="auto"/>
              <w:rPr>
                <w:sz w:val="24"/>
                <w:szCs w:val="24"/>
              </w:rPr>
            </w:pPr>
            <w:r>
              <w:rPr>
                <w:rFonts w:hint="eastAsia"/>
                <w:sz w:val="24"/>
                <w:szCs w:val="24"/>
              </w:rPr>
              <w:t>合伙企业在投资期内每年应向执行事务合伙人支付管理费，投资期（前</w:t>
            </w:r>
            <w:r>
              <w:rPr>
                <w:rFonts w:hint="eastAsia"/>
                <w:color w:val="FF0000"/>
                <w:sz w:val="24"/>
                <w:szCs w:val="24"/>
              </w:rPr>
              <w:t>X</w:t>
            </w:r>
            <w:r>
              <w:rPr>
                <w:rFonts w:hint="eastAsia"/>
                <w:sz w:val="24"/>
                <w:szCs w:val="24"/>
              </w:rPr>
              <w:t>年）年度管理费为基金实缴</w:t>
            </w:r>
            <w:r>
              <w:rPr>
                <w:rFonts w:hint="eastAsia"/>
                <w:color w:val="FF0000"/>
                <w:sz w:val="24"/>
                <w:szCs w:val="24"/>
              </w:rPr>
              <w:t>X</w:t>
            </w:r>
            <w:r>
              <w:rPr>
                <w:rFonts w:hint="eastAsia"/>
                <w:sz w:val="24"/>
                <w:szCs w:val="24"/>
              </w:rPr>
              <w:t>亿元的</w:t>
            </w:r>
            <w:r>
              <w:rPr>
                <w:rFonts w:hint="eastAsia"/>
                <w:color w:val="FF0000"/>
                <w:sz w:val="24"/>
                <w:szCs w:val="24"/>
              </w:rPr>
              <w:t>X</w:t>
            </w:r>
            <w:r>
              <w:rPr>
                <w:rFonts w:hint="eastAsia"/>
                <w:sz w:val="24"/>
                <w:szCs w:val="24"/>
              </w:rPr>
              <w:t>%</w:t>
            </w:r>
            <w:r>
              <w:rPr>
                <w:rFonts w:hint="eastAsia"/>
                <w:sz w:val="24"/>
                <w:szCs w:val="24"/>
              </w:rPr>
              <w:t>，退出期（后</w:t>
            </w:r>
            <w:r>
              <w:rPr>
                <w:rFonts w:hint="eastAsia"/>
                <w:color w:val="FF0000"/>
                <w:sz w:val="24"/>
                <w:szCs w:val="24"/>
              </w:rPr>
              <w:t>X</w:t>
            </w:r>
            <w:r>
              <w:rPr>
                <w:rFonts w:hint="eastAsia"/>
                <w:sz w:val="24"/>
                <w:szCs w:val="24"/>
              </w:rPr>
              <w:t>年）管理费为未退出投资额的</w:t>
            </w:r>
            <w:r>
              <w:rPr>
                <w:rFonts w:hint="eastAsia"/>
                <w:color w:val="FF0000"/>
                <w:sz w:val="24"/>
                <w:szCs w:val="24"/>
              </w:rPr>
              <w:t>X</w:t>
            </w:r>
            <w:r>
              <w:rPr>
                <w:rFonts w:hint="eastAsia"/>
                <w:sz w:val="24"/>
                <w:szCs w:val="24"/>
              </w:rPr>
              <w:t>%</w:t>
            </w:r>
            <w:r>
              <w:rPr>
                <w:rFonts w:hint="eastAsia"/>
                <w:sz w:val="24"/>
                <w:szCs w:val="24"/>
              </w:rPr>
              <w:t>，在延长期和清算期内，不需支付管理费。</w:t>
            </w:r>
          </w:p>
        </w:tc>
      </w:tr>
      <w:tr w:rsidR="00FD3CCD" w:rsidRPr="001A2D58" w:rsidTr="00535BC6">
        <w:trPr>
          <w:trHeight w:val="1281"/>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sz w:val="24"/>
                <w:szCs w:val="24"/>
              </w:rPr>
            </w:pPr>
            <w:r w:rsidRPr="001A2D58">
              <w:rPr>
                <w:rFonts w:ascii="宋体" w:hAnsi="宋体" w:cs="宋体" w:hint="eastAsia"/>
                <w:sz w:val="24"/>
                <w:szCs w:val="24"/>
              </w:rPr>
              <w:t>收益分配</w:t>
            </w:r>
          </w:p>
        </w:tc>
        <w:tc>
          <w:tcPr>
            <w:tcW w:w="7695" w:type="dxa"/>
            <w:tcBorders>
              <w:top w:val="single" w:sz="4" w:space="0" w:color="auto"/>
              <w:left w:val="single" w:sz="4" w:space="0" w:color="auto"/>
              <w:bottom w:val="single" w:sz="4" w:space="0" w:color="auto"/>
              <w:right w:val="single" w:sz="4" w:space="0" w:color="auto"/>
            </w:tcBorders>
            <w:vAlign w:val="center"/>
          </w:tcPr>
          <w:p w:rsidR="00535BC6" w:rsidRDefault="00535BC6" w:rsidP="00535BC6">
            <w:pPr>
              <w:spacing w:line="360" w:lineRule="auto"/>
              <w:rPr>
                <w:sz w:val="24"/>
                <w:szCs w:val="24"/>
              </w:rPr>
            </w:pPr>
            <w:r>
              <w:rPr>
                <w:rFonts w:hint="eastAsia"/>
                <w:sz w:val="24"/>
                <w:szCs w:val="24"/>
              </w:rPr>
              <w:t>管理公司（</w:t>
            </w:r>
            <w:r>
              <w:rPr>
                <w:rFonts w:hint="eastAsia"/>
                <w:sz w:val="24"/>
                <w:szCs w:val="24"/>
              </w:rPr>
              <w:t>GP</w:t>
            </w:r>
            <w:r>
              <w:rPr>
                <w:rFonts w:hint="eastAsia"/>
                <w:sz w:val="24"/>
                <w:szCs w:val="24"/>
              </w:rPr>
              <w:t>）作为基金管理人，将根据基金的投资收益计提业绩报酬。</w:t>
            </w:r>
          </w:p>
          <w:p w:rsidR="00535BC6" w:rsidRDefault="00535BC6" w:rsidP="00535BC6">
            <w:pPr>
              <w:spacing w:line="360" w:lineRule="auto"/>
              <w:jc w:val="left"/>
              <w:rPr>
                <w:sz w:val="24"/>
                <w:szCs w:val="24"/>
              </w:rPr>
            </w:pPr>
            <w:r>
              <w:rPr>
                <w:rFonts w:hint="eastAsia"/>
                <w:sz w:val="24"/>
                <w:szCs w:val="24"/>
              </w:rPr>
              <w:t>基金的任何投资项目退出后，即对合伙人进行利益分配，分配方式、顺序具体如下：</w:t>
            </w:r>
          </w:p>
          <w:p w:rsidR="00535BC6" w:rsidRDefault="00535BC6" w:rsidP="00535BC6">
            <w:pPr>
              <w:spacing w:line="360" w:lineRule="auto"/>
              <w:ind w:firstLine="480"/>
              <w:jc w:val="left"/>
              <w:rPr>
                <w:sz w:val="24"/>
                <w:szCs w:val="24"/>
              </w:rPr>
            </w:pPr>
            <w:r>
              <w:rPr>
                <w:rFonts w:hint="eastAsia"/>
                <w:sz w:val="24"/>
                <w:szCs w:val="24"/>
              </w:rPr>
              <w:t>i</w:t>
            </w:r>
            <w:r>
              <w:rPr>
                <w:rFonts w:hint="eastAsia"/>
                <w:sz w:val="24"/>
                <w:szCs w:val="24"/>
              </w:rPr>
              <w:t>、有限合伙人按实缴出资比例收回合伙人投入合伙企业的全部实缴出资本金；</w:t>
            </w:r>
          </w:p>
          <w:p w:rsidR="00535BC6" w:rsidRDefault="00535BC6" w:rsidP="00535BC6">
            <w:pPr>
              <w:spacing w:line="360" w:lineRule="auto"/>
              <w:ind w:firstLine="480"/>
              <w:jc w:val="left"/>
              <w:rPr>
                <w:sz w:val="24"/>
                <w:szCs w:val="24"/>
              </w:rPr>
            </w:pPr>
            <w:r>
              <w:rPr>
                <w:rFonts w:hint="eastAsia"/>
                <w:sz w:val="24"/>
                <w:szCs w:val="24"/>
              </w:rPr>
              <w:t>ii</w:t>
            </w:r>
            <w:r>
              <w:rPr>
                <w:rFonts w:hint="eastAsia"/>
                <w:sz w:val="24"/>
                <w:szCs w:val="24"/>
              </w:rPr>
              <w:t>、普通合伙人按实缴出资比例收回合伙人投入合伙企业的全部实缴出资本金；</w:t>
            </w:r>
          </w:p>
          <w:p w:rsidR="00535BC6" w:rsidRDefault="00535BC6" w:rsidP="00535BC6">
            <w:pPr>
              <w:spacing w:line="360" w:lineRule="auto"/>
              <w:jc w:val="left"/>
              <w:rPr>
                <w:sz w:val="24"/>
                <w:szCs w:val="24"/>
              </w:rPr>
            </w:pPr>
            <w:r>
              <w:rPr>
                <w:rFonts w:hint="eastAsia"/>
                <w:sz w:val="24"/>
                <w:szCs w:val="24"/>
              </w:rPr>
              <w:t xml:space="preserve">    iii</w:t>
            </w:r>
            <w:r>
              <w:rPr>
                <w:rFonts w:hint="eastAsia"/>
                <w:sz w:val="24"/>
                <w:szCs w:val="24"/>
              </w:rPr>
              <w:t>、如有剩余，向有限合伙人按照实缴出资在有限合伙人中的相对比例进行收益分配，直到有限合伙人获得以实缴出资为基数，按照</w:t>
            </w:r>
            <w:r>
              <w:rPr>
                <w:rFonts w:hint="eastAsia"/>
                <w:color w:val="FF0000"/>
                <w:sz w:val="24"/>
                <w:szCs w:val="24"/>
              </w:rPr>
              <w:t>X</w:t>
            </w:r>
            <w:r>
              <w:rPr>
                <w:rFonts w:hint="eastAsia"/>
                <w:sz w:val="24"/>
                <w:szCs w:val="24"/>
              </w:rPr>
              <w:t>%</w:t>
            </w:r>
            <w:r>
              <w:rPr>
                <w:rFonts w:hint="eastAsia"/>
                <w:sz w:val="24"/>
                <w:szCs w:val="24"/>
              </w:rPr>
              <w:t>年化收益率计算而得收益；</w:t>
            </w:r>
          </w:p>
          <w:p w:rsidR="00535BC6" w:rsidRDefault="00535BC6" w:rsidP="00535BC6">
            <w:pPr>
              <w:spacing w:line="360" w:lineRule="auto"/>
              <w:jc w:val="left"/>
              <w:rPr>
                <w:sz w:val="24"/>
                <w:szCs w:val="24"/>
              </w:rPr>
            </w:pPr>
            <w:r>
              <w:rPr>
                <w:rFonts w:hint="eastAsia"/>
                <w:sz w:val="24"/>
                <w:szCs w:val="24"/>
              </w:rPr>
              <w:lastRenderedPageBreak/>
              <w:t xml:space="preserve">    iv</w:t>
            </w:r>
            <w:r>
              <w:rPr>
                <w:rFonts w:hint="eastAsia"/>
                <w:sz w:val="24"/>
                <w:szCs w:val="24"/>
              </w:rPr>
              <w:t>、如有剩余，向普通合伙人以其实缴出资为基数进行收益分配，按照</w:t>
            </w:r>
            <w:r>
              <w:rPr>
                <w:rFonts w:hint="eastAsia"/>
                <w:color w:val="FF0000"/>
                <w:sz w:val="24"/>
                <w:szCs w:val="24"/>
              </w:rPr>
              <w:t>X</w:t>
            </w:r>
            <w:r>
              <w:rPr>
                <w:rFonts w:hint="eastAsia"/>
                <w:sz w:val="24"/>
                <w:szCs w:val="24"/>
              </w:rPr>
              <w:t>%</w:t>
            </w:r>
            <w:r>
              <w:rPr>
                <w:rFonts w:hint="eastAsia"/>
                <w:sz w:val="24"/>
                <w:szCs w:val="24"/>
              </w:rPr>
              <w:t>年化收益率计算而得收益；</w:t>
            </w:r>
          </w:p>
          <w:p w:rsidR="00FD3CCD" w:rsidRPr="001A2D58" w:rsidRDefault="00535BC6" w:rsidP="00535BC6">
            <w:pPr>
              <w:widowControl/>
              <w:spacing w:line="360" w:lineRule="auto"/>
              <w:rPr>
                <w:rFonts w:ascii="宋体" w:hAnsi="宋体" w:cs="宋体"/>
                <w:sz w:val="24"/>
                <w:szCs w:val="24"/>
              </w:rPr>
            </w:pPr>
            <w:r>
              <w:rPr>
                <w:rFonts w:hint="eastAsia"/>
                <w:sz w:val="24"/>
                <w:szCs w:val="24"/>
              </w:rPr>
              <w:t>v</w:t>
            </w:r>
            <w:r>
              <w:rPr>
                <w:rFonts w:hint="eastAsia"/>
                <w:sz w:val="24"/>
                <w:szCs w:val="24"/>
              </w:rPr>
              <w:t>、若按上述顺序分配后仍有余额的，则普通合伙人提取余额的</w:t>
            </w:r>
            <w:r>
              <w:rPr>
                <w:rFonts w:hint="eastAsia"/>
                <w:color w:val="FF0000"/>
                <w:sz w:val="24"/>
                <w:szCs w:val="24"/>
              </w:rPr>
              <w:t>X</w:t>
            </w:r>
            <w:r>
              <w:rPr>
                <w:rFonts w:hint="eastAsia"/>
                <w:sz w:val="24"/>
                <w:szCs w:val="24"/>
              </w:rPr>
              <w:t>%</w:t>
            </w:r>
            <w:r>
              <w:rPr>
                <w:rFonts w:hint="eastAsia"/>
                <w:sz w:val="24"/>
                <w:szCs w:val="24"/>
              </w:rPr>
              <w:t>作为业绩报酬，然后由全体有限合伙人按实缴出资比例对余额的</w:t>
            </w:r>
            <w:r>
              <w:rPr>
                <w:rFonts w:hint="eastAsia"/>
                <w:color w:val="FF0000"/>
                <w:sz w:val="24"/>
                <w:szCs w:val="24"/>
              </w:rPr>
              <w:t>X</w:t>
            </w:r>
            <w:r>
              <w:rPr>
                <w:rFonts w:hint="eastAsia"/>
                <w:sz w:val="24"/>
                <w:szCs w:val="24"/>
              </w:rPr>
              <w:t>%</w:t>
            </w:r>
            <w:r>
              <w:rPr>
                <w:rFonts w:hint="eastAsia"/>
                <w:sz w:val="24"/>
                <w:szCs w:val="24"/>
              </w:rPr>
              <w:t>进行分配。</w:t>
            </w:r>
          </w:p>
        </w:tc>
      </w:tr>
      <w:tr w:rsidR="00FD3CCD" w:rsidRPr="001A2D58">
        <w:trPr>
          <w:trHeight w:val="175"/>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kern w:val="0"/>
                <w:sz w:val="24"/>
                <w:szCs w:val="24"/>
              </w:rPr>
              <w:lastRenderedPageBreak/>
              <w:t>基金退出方式</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7D73DC">
            <w:pPr>
              <w:widowControl/>
              <w:spacing w:line="360" w:lineRule="auto"/>
              <w:jc w:val="left"/>
              <w:rPr>
                <w:rFonts w:ascii="宋体" w:hAnsi="宋体" w:cs="宋体"/>
                <w:color w:val="0000FF"/>
                <w:sz w:val="24"/>
                <w:szCs w:val="24"/>
              </w:rPr>
            </w:pPr>
            <w:r>
              <w:rPr>
                <w:rFonts w:hint="eastAsia"/>
                <w:color w:val="FF0000"/>
                <w:sz w:val="24"/>
                <w:szCs w:val="24"/>
              </w:rPr>
              <w:t>XXXX</w:t>
            </w:r>
            <w:r w:rsidR="00235500" w:rsidRPr="00235500">
              <w:rPr>
                <w:rFonts w:hint="eastAsia"/>
                <w:sz w:val="24"/>
                <w:szCs w:val="24"/>
              </w:rPr>
              <w:t>方式退出</w:t>
            </w:r>
          </w:p>
        </w:tc>
      </w:tr>
      <w:tr w:rsidR="00FD3CCD" w:rsidRPr="001A2D58">
        <w:trPr>
          <w:trHeight w:val="231"/>
          <w:jc w:val="center"/>
        </w:trPr>
        <w:tc>
          <w:tcPr>
            <w:tcW w:w="1755" w:type="dxa"/>
            <w:tcBorders>
              <w:top w:val="single" w:sz="4" w:space="0" w:color="auto"/>
              <w:left w:val="single" w:sz="4" w:space="0" w:color="auto"/>
              <w:bottom w:val="single" w:sz="4" w:space="0" w:color="auto"/>
              <w:right w:val="single" w:sz="4" w:space="0" w:color="auto"/>
            </w:tcBorders>
            <w:vAlign w:val="center"/>
          </w:tcPr>
          <w:p w:rsidR="00FD3CCD" w:rsidRPr="001A2D58" w:rsidRDefault="00AC01E4">
            <w:pPr>
              <w:widowControl/>
              <w:spacing w:line="360" w:lineRule="auto"/>
              <w:jc w:val="center"/>
              <w:rPr>
                <w:rFonts w:ascii="宋体" w:hAnsi="宋体" w:cs="宋体"/>
                <w:kern w:val="0"/>
                <w:sz w:val="24"/>
                <w:szCs w:val="24"/>
              </w:rPr>
            </w:pPr>
            <w:r w:rsidRPr="001A2D58">
              <w:rPr>
                <w:rFonts w:ascii="宋体" w:hAnsi="宋体" w:cs="宋体" w:hint="eastAsia"/>
                <w:color w:val="000000"/>
                <w:kern w:val="0"/>
                <w:sz w:val="24"/>
                <w:szCs w:val="24"/>
              </w:rPr>
              <w:t>募集进展</w:t>
            </w:r>
          </w:p>
        </w:tc>
        <w:tc>
          <w:tcPr>
            <w:tcW w:w="7695" w:type="dxa"/>
            <w:tcBorders>
              <w:top w:val="single" w:sz="4" w:space="0" w:color="auto"/>
              <w:left w:val="single" w:sz="4" w:space="0" w:color="auto"/>
              <w:bottom w:val="single" w:sz="4" w:space="0" w:color="auto"/>
              <w:right w:val="single" w:sz="4" w:space="0" w:color="auto"/>
            </w:tcBorders>
            <w:vAlign w:val="center"/>
          </w:tcPr>
          <w:p w:rsidR="00FD3CCD" w:rsidRPr="001A2D58" w:rsidRDefault="00535BC6">
            <w:pPr>
              <w:widowControl/>
              <w:spacing w:line="360" w:lineRule="auto"/>
              <w:jc w:val="left"/>
              <w:rPr>
                <w:rFonts w:ascii="宋体" w:hAnsi="宋体" w:cs="宋体"/>
                <w:color w:val="0000FF"/>
                <w:sz w:val="24"/>
                <w:szCs w:val="24"/>
              </w:rPr>
            </w:pPr>
            <w:r>
              <w:rPr>
                <w:rFonts w:hint="eastAsia"/>
                <w:color w:val="FF0000"/>
                <w:sz w:val="24"/>
                <w:szCs w:val="24"/>
              </w:rPr>
              <w:t>XXXX</w:t>
            </w:r>
            <w:r>
              <w:rPr>
                <w:rFonts w:hint="eastAsia"/>
                <w:sz w:val="24"/>
                <w:szCs w:val="24"/>
              </w:rPr>
              <w:t>（</w:t>
            </w:r>
            <w:r>
              <w:rPr>
                <w:rFonts w:hint="eastAsia"/>
                <w:sz w:val="24"/>
                <w:szCs w:val="24"/>
              </w:rPr>
              <w:t>LP</w:t>
            </w:r>
            <w:r>
              <w:rPr>
                <w:rFonts w:hint="eastAsia"/>
                <w:sz w:val="24"/>
                <w:szCs w:val="24"/>
              </w:rPr>
              <w:t>目前的出资情况）</w:t>
            </w:r>
          </w:p>
        </w:tc>
      </w:tr>
    </w:tbl>
    <w:p w:rsidR="00FD3CCD" w:rsidRPr="00D06EF2" w:rsidRDefault="00AC01E4" w:rsidP="00D06EF2">
      <w:pPr>
        <w:rPr>
          <w:rFonts w:asciiTheme="majorEastAsia" w:eastAsiaTheme="majorEastAsia" w:hAnsiTheme="majorEastAsia"/>
          <w:b/>
          <w:sz w:val="28"/>
          <w:szCs w:val="28"/>
        </w:rPr>
      </w:pPr>
      <w:r w:rsidRPr="00D06EF2">
        <w:rPr>
          <w:rFonts w:asciiTheme="majorEastAsia" w:eastAsiaTheme="majorEastAsia" w:hAnsiTheme="majorEastAsia" w:hint="eastAsia"/>
          <w:b/>
          <w:sz w:val="28"/>
          <w:szCs w:val="28"/>
        </w:rPr>
        <w:t>2、基金意向结构</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16"/>
        <w:gridCol w:w="1478"/>
        <w:gridCol w:w="1276"/>
        <w:gridCol w:w="992"/>
        <w:gridCol w:w="1417"/>
        <w:gridCol w:w="1418"/>
      </w:tblGrid>
      <w:tr w:rsidR="00534CC7" w:rsidRPr="001A2D58" w:rsidTr="00177535">
        <w:trPr>
          <w:trHeight w:val="1002"/>
        </w:trPr>
        <w:tc>
          <w:tcPr>
            <w:tcW w:w="231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投资人名称</w:t>
            </w:r>
          </w:p>
        </w:tc>
        <w:tc>
          <w:tcPr>
            <w:tcW w:w="1478"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合伙人性质</w:t>
            </w:r>
          </w:p>
        </w:tc>
        <w:tc>
          <w:tcPr>
            <w:tcW w:w="127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出资金额（万元）</w:t>
            </w:r>
          </w:p>
        </w:tc>
        <w:tc>
          <w:tcPr>
            <w:tcW w:w="992"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出资</w:t>
            </w:r>
          </w:p>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占比</w:t>
            </w:r>
          </w:p>
        </w:tc>
        <w:tc>
          <w:tcPr>
            <w:tcW w:w="1417"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首期出资金额（万元）</w:t>
            </w:r>
          </w:p>
        </w:tc>
        <w:tc>
          <w:tcPr>
            <w:tcW w:w="1418" w:type="dxa"/>
            <w:tcBorders>
              <w:tl2br w:val="nil"/>
              <w:tr2bl w:val="nil"/>
            </w:tcBorders>
            <w:vAlign w:val="center"/>
          </w:tcPr>
          <w:p w:rsidR="00534CC7" w:rsidRPr="001A2D58" w:rsidRDefault="00534CC7" w:rsidP="004E2083">
            <w:pPr>
              <w:spacing w:line="360" w:lineRule="auto"/>
              <w:jc w:val="center"/>
              <w:rPr>
                <w:rFonts w:ascii="宋体" w:hAnsi="宋体" w:cs="宋体"/>
                <w:sz w:val="24"/>
                <w:szCs w:val="24"/>
              </w:rPr>
            </w:pPr>
            <w:r>
              <w:rPr>
                <w:rFonts w:ascii="宋体" w:hAnsi="宋体" w:cs="宋体" w:hint="eastAsia"/>
                <w:sz w:val="24"/>
                <w:szCs w:val="24"/>
              </w:rPr>
              <w:t>派驻投委会成员</w:t>
            </w:r>
          </w:p>
        </w:tc>
      </w:tr>
      <w:tr w:rsidR="00534CC7" w:rsidRPr="001A2D58" w:rsidTr="00177535">
        <w:trPr>
          <w:trHeight w:val="506"/>
        </w:trPr>
        <w:tc>
          <w:tcPr>
            <w:tcW w:w="231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78"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27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992"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7"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8" w:type="dxa"/>
            <w:tcBorders>
              <w:tl2br w:val="nil"/>
              <w:tr2bl w:val="nil"/>
            </w:tcBorders>
            <w:vAlign w:val="center"/>
          </w:tcPr>
          <w:p w:rsidR="00534CC7" w:rsidRPr="001A2D58" w:rsidRDefault="00534CC7" w:rsidP="004E2083">
            <w:pPr>
              <w:spacing w:line="360" w:lineRule="auto"/>
              <w:jc w:val="center"/>
              <w:rPr>
                <w:rFonts w:ascii="宋体" w:hAnsi="宋体" w:cs="宋体"/>
                <w:sz w:val="24"/>
                <w:szCs w:val="24"/>
              </w:rPr>
            </w:pPr>
          </w:p>
        </w:tc>
      </w:tr>
      <w:tr w:rsidR="00534CC7" w:rsidRPr="001A2D58" w:rsidTr="00177535">
        <w:trPr>
          <w:trHeight w:val="506"/>
        </w:trPr>
        <w:tc>
          <w:tcPr>
            <w:tcW w:w="231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78"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27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992"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7"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8" w:type="dxa"/>
            <w:tcBorders>
              <w:tl2br w:val="nil"/>
              <w:tr2bl w:val="nil"/>
            </w:tcBorders>
            <w:vAlign w:val="center"/>
          </w:tcPr>
          <w:p w:rsidR="00534CC7" w:rsidRPr="001A2D58" w:rsidRDefault="00534CC7" w:rsidP="004E2083">
            <w:pPr>
              <w:spacing w:line="360" w:lineRule="auto"/>
              <w:jc w:val="center"/>
              <w:rPr>
                <w:rFonts w:ascii="宋体" w:hAnsi="宋体" w:cs="宋体"/>
                <w:sz w:val="24"/>
                <w:szCs w:val="24"/>
              </w:rPr>
            </w:pPr>
          </w:p>
        </w:tc>
      </w:tr>
      <w:tr w:rsidR="00534CC7" w:rsidRPr="001A2D58" w:rsidTr="00177535">
        <w:trPr>
          <w:trHeight w:val="517"/>
        </w:trPr>
        <w:tc>
          <w:tcPr>
            <w:tcW w:w="231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78"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27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992"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7"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8" w:type="dxa"/>
            <w:tcBorders>
              <w:tl2br w:val="nil"/>
              <w:tr2bl w:val="nil"/>
            </w:tcBorders>
            <w:vAlign w:val="center"/>
          </w:tcPr>
          <w:p w:rsidR="00534CC7" w:rsidRPr="001A2D58" w:rsidRDefault="00534CC7" w:rsidP="004E2083">
            <w:pPr>
              <w:spacing w:line="360" w:lineRule="auto"/>
              <w:jc w:val="center"/>
              <w:rPr>
                <w:rFonts w:ascii="宋体" w:hAnsi="宋体" w:cs="宋体"/>
                <w:sz w:val="24"/>
                <w:szCs w:val="24"/>
              </w:rPr>
            </w:pPr>
          </w:p>
        </w:tc>
      </w:tr>
      <w:tr w:rsidR="00534CC7" w:rsidRPr="001A2D58" w:rsidTr="00177535">
        <w:trPr>
          <w:trHeight w:val="517"/>
        </w:trPr>
        <w:tc>
          <w:tcPr>
            <w:tcW w:w="231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r w:rsidRPr="001A2D58">
              <w:rPr>
                <w:rFonts w:ascii="宋体" w:hAnsi="宋体" w:cs="宋体" w:hint="eastAsia"/>
                <w:sz w:val="24"/>
                <w:szCs w:val="24"/>
              </w:rPr>
              <w:t>合计</w:t>
            </w:r>
          </w:p>
        </w:tc>
        <w:tc>
          <w:tcPr>
            <w:tcW w:w="1478"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276"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992"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7" w:type="dxa"/>
            <w:tcBorders>
              <w:tl2br w:val="nil"/>
              <w:tr2bl w:val="nil"/>
            </w:tcBorders>
            <w:vAlign w:val="center"/>
          </w:tcPr>
          <w:p w:rsidR="00534CC7" w:rsidRPr="001A2D58" w:rsidRDefault="00534CC7">
            <w:pPr>
              <w:spacing w:line="360" w:lineRule="auto"/>
              <w:jc w:val="center"/>
              <w:rPr>
                <w:rFonts w:ascii="宋体" w:hAnsi="宋体" w:cs="宋体"/>
                <w:sz w:val="24"/>
                <w:szCs w:val="24"/>
              </w:rPr>
            </w:pPr>
          </w:p>
        </w:tc>
        <w:tc>
          <w:tcPr>
            <w:tcW w:w="1418" w:type="dxa"/>
            <w:tcBorders>
              <w:tl2br w:val="nil"/>
              <w:tr2bl w:val="nil"/>
            </w:tcBorders>
            <w:vAlign w:val="center"/>
          </w:tcPr>
          <w:p w:rsidR="00534CC7" w:rsidRPr="001A2D58" w:rsidRDefault="00534CC7" w:rsidP="004E2083">
            <w:pPr>
              <w:spacing w:line="360" w:lineRule="auto"/>
              <w:jc w:val="center"/>
              <w:rPr>
                <w:rFonts w:ascii="宋体" w:hAnsi="宋体" w:cs="宋体"/>
                <w:sz w:val="24"/>
                <w:szCs w:val="24"/>
              </w:rPr>
            </w:pPr>
          </w:p>
        </w:tc>
      </w:tr>
    </w:tbl>
    <w:p w:rsidR="005D7C4D" w:rsidRPr="00D27D1B" w:rsidRDefault="00D27D1B" w:rsidP="00D27D1B">
      <w:pPr>
        <w:rPr>
          <w:rFonts w:asciiTheme="majorEastAsia" w:eastAsiaTheme="majorEastAsia" w:hAnsiTheme="majorEastAsia"/>
          <w:b/>
          <w:sz w:val="28"/>
          <w:szCs w:val="28"/>
        </w:rPr>
      </w:pPr>
      <w:r w:rsidRPr="00D27D1B">
        <w:rPr>
          <w:rFonts w:asciiTheme="majorEastAsia" w:eastAsiaTheme="majorEastAsia" w:hAnsiTheme="majorEastAsia" w:hint="eastAsia"/>
          <w:b/>
          <w:sz w:val="28"/>
          <w:szCs w:val="28"/>
        </w:rPr>
        <w:t>3、合作方基本情况</w:t>
      </w:r>
      <w:r w:rsidR="00AC01E4" w:rsidRPr="00D27D1B">
        <w:rPr>
          <w:rFonts w:asciiTheme="majorEastAsia" w:eastAsiaTheme="majorEastAsia" w:hAnsiTheme="majorEastAsia" w:hint="eastAsia"/>
          <w:b/>
          <w:sz w:val="28"/>
          <w:szCs w:val="28"/>
        </w:rPr>
        <w:t>注：</w:t>
      </w:r>
      <w:r w:rsidR="005170E9" w:rsidRPr="00D27D1B">
        <w:rPr>
          <w:rFonts w:asciiTheme="majorEastAsia" w:eastAsiaTheme="majorEastAsia" w:hAnsiTheme="majorEastAsia" w:hint="eastAsia"/>
          <w:b/>
          <w:sz w:val="28"/>
          <w:szCs w:val="28"/>
        </w:rPr>
        <w:t>LP和GP的简介</w:t>
      </w:r>
    </w:p>
    <w:p w:rsidR="00FD3CCD" w:rsidRPr="00D06EF2" w:rsidRDefault="00D27D1B" w:rsidP="00D06EF2">
      <w:pPr>
        <w:rPr>
          <w:rFonts w:asciiTheme="majorEastAsia" w:eastAsiaTheme="majorEastAsia" w:hAnsiTheme="majorEastAsia"/>
          <w:b/>
          <w:sz w:val="28"/>
          <w:szCs w:val="28"/>
        </w:rPr>
      </w:pPr>
      <w:r>
        <w:rPr>
          <w:rFonts w:asciiTheme="majorEastAsia" w:eastAsiaTheme="majorEastAsia" w:hAnsiTheme="majorEastAsia" w:hint="eastAsia"/>
          <w:b/>
          <w:sz w:val="28"/>
          <w:szCs w:val="28"/>
        </w:rPr>
        <w:t>4</w:t>
      </w:r>
      <w:r w:rsidR="00AC01E4" w:rsidRPr="00D06EF2">
        <w:rPr>
          <w:rFonts w:asciiTheme="majorEastAsia" w:eastAsiaTheme="majorEastAsia" w:hAnsiTheme="majorEastAsia" w:hint="eastAsia"/>
          <w:b/>
          <w:sz w:val="28"/>
          <w:szCs w:val="28"/>
        </w:rPr>
        <w:t>、基金投资方向</w:t>
      </w:r>
    </w:p>
    <w:p w:rsidR="005170E9" w:rsidRDefault="005170E9" w:rsidP="005170E9">
      <w:pPr>
        <w:rPr>
          <w:color w:val="FF0000"/>
          <w:sz w:val="24"/>
          <w:szCs w:val="24"/>
        </w:rPr>
      </w:pPr>
      <w:r w:rsidRPr="005170E9">
        <w:rPr>
          <w:rFonts w:hint="eastAsia"/>
          <w:color w:val="FF0000"/>
          <w:sz w:val="24"/>
          <w:szCs w:val="24"/>
        </w:rPr>
        <w:t>（介绍基金投资方向）</w:t>
      </w:r>
    </w:p>
    <w:p w:rsidR="00FD3CCD" w:rsidRPr="00D27D1B" w:rsidRDefault="00D27D1B" w:rsidP="00D27D1B">
      <w:pPr>
        <w:rPr>
          <w:rFonts w:asciiTheme="majorEastAsia" w:eastAsiaTheme="majorEastAsia" w:hAnsiTheme="majorEastAsia"/>
          <w:b/>
          <w:sz w:val="28"/>
          <w:szCs w:val="28"/>
        </w:rPr>
      </w:pPr>
      <w:r>
        <w:rPr>
          <w:rFonts w:asciiTheme="majorEastAsia" w:eastAsiaTheme="majorEastAsia" w:hAnsiTheme="majorEastAsia" w:hint="eastAsia"/>
          <w:b/>
          <w:sz w:val="28"/>
          <w:szCs w:val="28"/>
        </w:rPr>
        <w:t>5、项目选择标准</w:t>
      </w:r>
    </w:p>
    <w:p w:rsidR="005170E9" w:rsidRPr="005170E9" w:rsidRDefault="005170E9" w:rsidP="005170E9">
      <w:pPr>
        <w:spacing w:line="360" w:lineRule="auto"/>
        <w:rPr>
          <w:color w:val="FF0000"/>
          <w:sz w:val="24"/>
          <w:szCs w:val="24"/>
        </w:rPr>
      </w:pPr>
      <w:r w:rsidRPr="005170E9">
        <w:rPr>
          <w:rFonts w:hint="eastAsia"/>
          <w:color w:val="FF0000"/>
          <w:sz w:val="24"/>
          <w:szCs w:val="24"/>
        </w:rPr>
        <w:t>（介绍项目选择标准）</w:t>
      </w:r>
    </w:p>
    <w:p w:rsidR="00FD3CCD" w:rsidRPr="001A2D58" w:rsidRDefault="00FD3CCD" w:rsidP="00D77580">
      <w:pPr>
        <w:spacing w:line="360" w:lineRule="auto"/>
        <w:rPr>
          <w:rFonts w:ascii="宋体" w:hAnsi="宋体" w:cs="宋体"/>
          <w:sz w:val="24"/>
          <w:szCs w:val="24"/>
        </w:rPr>
      </w:pPr>
    </w:p>
    <w:p w:rsidR="00FD3CCD" w:rsidRPr="00D06EF2" w:rsidRDefault="00AC01E4" w:rsidP="00D06EF2">
      <w:pPr>
        <w:rPr>
          <w:b/>
          <w:sz w:val="32"/>
          <w:szCs w:val="32"/>
        </w:rPr>
      </w:pPr>
      <w:r w:rsidRPr="00D06EF2">
        <w:rPr>
          <w:rFonts w:hint="eastAsia"/>
          <w:b/>
          <w:sz w:val="32"/>
          <w:szCs w:val="32"/>
        </w:rPr>
        <w:t>二、基金管理机构及其核心团队</w:t>
      </w:r>
    </w:p>
    <w:p w:rsidR="00FD3CCD" w:rsidRDefault="00AC01E4" w:rsidP="00D06EF2">
      <w:pPr>
        <w:rPr>
          <w:b/>
          <w:sz w:val="28"/>
          <w:szCs w:val="28"/>
        </w:rPr>
      </w:pPr>
      <w:r w:rsidRPr="00D06EF2">
        <w:rPr>
          <w:rFonts w:hint="eastAsia"/>
          <w:b/>
          <w:sz w:val="28"/>
          <w:szCs w:val="28"/>
        </w:rPr>
        <w:t>1</w:t>
      </w:r>
      <w:r w:rsidRPr="00D06EF2">
        <w:rPr>
          <w:rFonts w:hint="eastAsia"/>
          <w:b/>
          <w:sz w:val="28"/>
          <w:szCs w:val="28"/>
        </w:rPr>
        <w:t>、管理机构简介</w:t>
      </w:r>
    </w:p>
    <w:p w:rsidR="008557F3" w:rsidRDefault="008557F3" w:rsidP="008557F3">
      <w:pPr>
        <w:spacing w:line="360" w:lineRule="auto"/>
        <w:jc w:val="left"/>
        <w:rPr>
          <w:bCs/>
          <w:color w:val="FF0000"/>
          <w:sz w:val="24"/>
          <w:szCs w:val="24"/>
        </w:rPr>
      </w:pPr>
      <w:r>
        <w:rPr>
          <w:rFonts w:hint="eastAsia"/>
          <w:bCs/>
          <w:color w:val="FF0000"/>
          <w:sz w:val="24"/>
          <w:szCs w:val="24"/>
        </w:rPr>
        <w:t>（介绍一下基金管理机构的历史发展沿革，包括何时成立，注册资本多少，何时在基金业协会备案，投资策略）</w:t>
      </w:r>
    </w:p>
    <w:p w:rsidR="00FD3CCD" w:rsidRPr="001A2D58" w:rsidRDefault="00AC01E4">
      <w:pPr>
        <w:spacing w:line="360" w:lineRule="auto"/>
        <w:rPr>
          <w:rFonts w:ascii="宋体" w:hAnsi="宋体" w:cs="宋体"/>
          <w:sz w:val="24"/>
          <w:szCs w:val="24"/>
        </w:rPr>
      </w:pPr>
      <w:r w:rsidRPr="001A2D58">
        <w:rPr>
          <w:rFonts w:ascii="宋体" w:hAnsi="宋体" w:cs="宋体" w:hint="eastAsia"/>
          <w:sz w:val="24"/>
          <w:szCs w:val="24"/>
        </w:rPr>
        <w:t>管理公司股东明细如下：</w:t>
      </w:r>
    </w:p>
    <w:tbl>
      <w:tblPr>
        <w:tblStyle w:val="a8"/>
        <w:tblW w:w="8187" w:type="dxa"/>
        <w:tblLayout w:type="fixed"/>
        <w:tblLook w:val="04A0"/>
      </w:tblPr>
      <w:tblGrid>
        <w:gridCol w:w="4077"/>
        <w:gridCol w:w="1560"/>
        <w:gridCol w:w="1275"/>
        <w:gridCol w:w="1275"/>
      </w:tblGrid>
      <w:tr w:rsidR="00ED01FC" w:rsidRPr="001A2D58" w:rsidTr="00EC1A3E">
        <w:tc>
          <w:tcPr>
            <w:tcW w:w="4077" w:type="dxa"/>
            <w:vAlign w:val="center"/>
          </w:tcPr>
          <w:p w:rsidR="00ED01FC" w:rsidRPr="001A2D58" w:rsidRDefault="00ED01FC">
            <w:pPr>
              <w:spacing w:line="360" w:lineRule="auto"/>
              <w:jc w:val="center"/>
              <w:rPr>
                <w:rFonts w:ascii="宋体" w:hAnsi="宋体" w:cs="宋体"/>
                <w:sz w:val="24"/>
                <w:szCs w:val="24"/>
              </w:rPr>
            </w:pPr>
            <w:r w:rsidRPr="001A2D58">
              <w:rPr>
                <w:rFonts w:ascii="宋体" w:hAnsi="宋体" w:cs="宋体" w:hint="eastAsia"/>
                <w:sz w:val="24"/>
                <w:szCs w:val="24"/>
              </w:rPr>
              <w:t>股东姓名或名称</w:t>
            </w:r>
          </w:p>
        </w:tc>
        <w:tc>
          <w:tcPr>
            <w:tcW w:w="1560" w:type="dxa"/>
            <w:vAlign w:val="center"/>
          </w:tcPr>
          <w:p w:rsidR="00ED01FC" w:rsidRPr="001A2D58" w:rsidRDefault="00ED01FC">
            <w:pPr>
              <w:spacing w:line="360" w:lineRule="auto"/>
              <w:jc w:val="center"/>
              <w:rPr>
                <w:rFonts w:ascii="宋体" w:hAnsi="宋体" w:cs="宋体"/>
                <w:sz w:val="24"/>
                <w:szCs w:val="24"/>
              </w:rPr>
            </w:pPr>
            <w:r w:rsidRPr="001A2D58">
              <w:rPr>
                <w:rFonts w:ascii="宋体" w:hAnsi="宋体" w:cs="宋体" w:hint="eastAsia"/>
                <w:sz w:val="24"/>
                <w:szCs w:val="24"/>
              </w:rPr>
              <w:t>认缴出资额（万元）</w:t>
            </w:r>
          </w:p>
        </w:tc>
        <w:tc>
          <w:tcPr>
            <w:tcW w:w="1275" w:type="dxa"/>
            <w:vAlign w:val="center"/>
          </w:tcPr>
          <w:p w:rsidR="00ED01FC" w:rsidRPr="001A2D58" w:rsidRDefault="00ED01FC">
            <w:pPr>
              <w:spacing w:line="360" w:lineRule="auto"/>
              <w:jc w:val="center"/>
              <w:rPr>
                <w:rFonts w:ascii="宋体" w:hAnsi="宋体" w:cs="宋体"/>
                <w:sz w:val="24"/>
                <w:szCs w:val="24"/>
              </w:rPr>
            </w:pPr>
            <w:r w:rsidRPr="001A2D58">
              <w:rPr>
                <w:rFonts w:ascii="宋体" w:hAnsi="宋体" w:cs="宋体" w:hint="eastAsia"/>
                <w:sz w:val="24"/>
                <w:szCs w:val="24"/>
              </w:rPr>
              <w:t>持股比例</w:t>
            </w:r>
          </w:p>
        </w:tc>
        <w:tc>
          <w:tcPr>
            <w:tcW w:w="1275" w:type="dxa"/>
            <w:vAlign w:val="center"/>
          </w:tcPr>
          <w:p w:rsidR="00ED01FC" w:rsidRPr="001A2D58" w:rsidRDefault="00ED01FC" w:rsidP="005069F0">
            <w:pPr>
              <w:spacing w:line="360" w:lineRule="auto"/>
              <w:jc w:val="center"/>
              <w:rPr>
                <w:rFonts w:ascii="宋体" w:hAnsi="宋体" w:cs="宋体"/>
                <w:sz w:val="24"/>
                <w:szCs w:val="24"/>
              </w:rPr>
            </w:pPr>
            <w:r>
              <w:rPr>
                <w:rFonts w:ascii="宋体" w:hAnsi="宋体" w:cs="宋体" w:hint="eastAsia"/>
                <w:sz w:val="24"/>
                <w:szCs w:val="24"/>
              </w:rPr>
              <w:t>备注</w:t>
            </w:r>
          </w:p>
        </w:tc>
      </w:tr>
      <w:tr w:rsidR="00ED01FC" w:rsidRPr="001A2D58" w:rsidTr="00EC1A3E">
        <w:tc>
          <w:tcPr>
            <w:tcW w:w="4077" w:type="dxa"/>
            <w:vAlign w:val="center"/>
          </w:tcPr>
          <w:p w:rsidR="00ED01FC" w:rsidRPr="001A2D58" w:rsidRDefault="00ED01FC">
            <w:pPr>
              <w:spacing w:line="360" w:lineRule="auto"/>
              <w:jc w:val="center"/>
              <w:rPr>
                <w:rFonts w:ascii="宋体" w:hAnsi="宋体" w:cs="宋体"/>
                <w:sz w:val="24"/>
                <w:szCs w:val="24"/>
              </w:rPr>
            </w:pPr>
          </w:p>
        </w:tc>
        <w:tc>
          <w:tcPr>
            <w:tcW w:w="1560"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rsidP="005069F0">
            <w:pPr>
              <w:spacing w:line="360" w:lineRule="auto"/>
              <w:jc w:val="center"/>
              <w:rPr>
                <w:rFonts w:ascii="宋体" w:hAnsi="宋体" w:cs="宋体"/>
                <w:sz w:val="24"/>
                <w:szCs w:val="24"/>
              </w:rPr>
            </w:pPr>
          </w:p>
        </w:tc>
      </w:tr>
      <w:tr w:rsidR="00ED01FC" w:rsidRPr="001A2D58" w:rsidTr="00EC1A3E">
        <w:tc>
          <w:tcPr>
            <w:tcW w:w="4077" w:type="dxa"/>
            <w:vAlign w:val="center"/>
          </w:tcPr>
          <w:p w:rsidR="00ED01FC" w:rsidRPr="001A2D58" w:rsidRDefault="00ED01FC">
            <w:pPr>
              <w:spacing w:line="360" w:lineRule="auto"/>
              <w:jc w:val="center"/>
              <w:rPr>
                <w:rFonts w:ascii="宋体" w:hAnsi="宋体" w:cs="宋体"/>
                <w:sz w:val="24"/>
                <w:szCs w:val="24"/>
              </w:rPr>
            </w:pPr>
          </w:p>
        </w:tc>
        <w:tc>
          <w:tcPr>
            <w:tcW w:w="1560"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rsidP="005069F0">
            <w:pPr>
              <w:spacing w:line="360" w:lineRule="auto"/>
              <w:jc w:val="center"/>
              <w:rPr>
                <w:rFonts w:ascii="宋体" w:hAnsi="宋体" w:cs="宋体"/>
                <w:sz w:val="24"/>
                <w:szCs w:val="24"/>
              </w:rPr>
            </w:pPr>
          </w:p>
        </w:tc>
      </w:tr>
      <w:tr w:rsidR="00ED01FC" w:rsidRPr="001A2D58" w:rsidTr="00EC1A3E">
        <w:tc>
          <w:tcPr>
            <w:tcW w:w="4077" w:type="dxa"/>
            <w:vAlign w:val="center"/>
          </w:tcPr>
          <w:p w:rsidR="00ED01FC" w:rsidRPr="001A2D58" w:rsidRDefault="00ED01FC">
            <w:pPr>
              <w:spacing w:line="360" w:lineRule="auto"/>
              <w:jc w:val="center"/>
              <w:rPr>
                <w:rFonts w:ascii="宋体" w:hAnsi="宋体" w:cs="宋体"/>
                <w:sz w:val="24"/>
                <w:szCs w:val="24"/>
              </w:rPr>
            </w:pPr>
          </w:p>
        </w:tc>
        <w:tc>
          <w:tcPr>
            <w:tcW w:w="1560"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rsidP="005069F0">
            <w:pPr>
              <w:spacing w:line="360" w:lineRule="auto"/>
              <w:jc w:val="center"/>
              <w:rPr>
                <w:rFonts w:ascii="宋体" w:hAnsi="宋体" w:cs="宋体"/>
                <w:sz w:val="24"/>
                <w:szCs w:val="24"/>
              </w:rPr>
            </w:pPr>
          </w:p>
        </w:tc>
      </w:tr>
      <w:tr w:rsidR="00ED01FC" w:rsidRPr="001A2D58" w:rsidTr="00EC1A3E">
        <w:tc>
          <w:tcPr>
            <w:tcW w:w="4077" w:type="dxa"/>
            <w:vAlign w:val="center"/>
          </w:tcPr>
          <w:p w:rsidR="00ED01FC" w:rsidRPr="001A2D58" w:rsidRDefault="00ED01FC">
            <w:pPr>
              <w:spacing w:line="360" w:lineRule="auto"/>
              <w:jc w:val="center"/>
              <w:rPr>
                <w:rFonts w:ascii="宋体" w:hAnsi="宋体" w:cs="宋体"/>
                <w:sz w:val="24"/>
                <w:szCs w:val="24"/>
              </w:rPr>
            </w:pPr>
          </w:p>
        </w:tc>
        <w:tc>
          <w:tcPr>
            <w:tcW w:w="1560"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pPr>
              <w:spacing w:line="360" w:lineRule="auto"/>
              <w:jc w:val="center"/>
              <w:rPr>
                <w:rFonts w:ascii="宋体" w:hAnsi="宋体" w:cs="宋体"/>
                <w:sz w:val="24"/>
                <w:szCs w:val="24"/>
              </w:rPr>
            </w:pPr>
          </w:p>
        </w:tc>
        <w:tc>
          <w:tcPr>
            <w:tcW w:w="1275" w:type="dxa"/>
            <w:vAlign w:val="center"/>
          </w:tcPr>
          <w:p w:rsidR="00ED01FC" w:rsidRPr="001A2D58" w:rsidRDefault="00ED01FC" w:rsidP="005069F0">
            <w:pPr>
              <w:spacing w:line="360" w:lineRule="auto"/>
              <w:jc w:val="center"/>
              <w:rPr>
                <w:rFonts w:ascii="宋体" w:hAnsi="宋体" w:cs="宋体"/>
                <w:sz w:val="24"/>
                <w:szCs w:val="24"/>
              </w:rPr>
            </w:pPr>
          </w:p>
        </w:tc>
      </w:tr>
    </w:tbl>
    <w:p w:rsidR="00FD3CCD" w:rsidRPr="00ED01FC" w:rsidRDefault="00ED01FC" w:rsidP="00ED01FC">
      <w:pPr>
        <w:rPr>
          <w:b/>
          <w:sz w:val="28"/>
          <w:szCs w:val="28"/>
        </w:rPr>
      </w:pPr>
      <w:r>
        <w:rPr>
          <w:rFonts w:hint="eastAsia"/>
          <w:b/>
          <w:sz w:val="28"/>
          <w:szCs w:val="28"/>
        </w:rPr>
        <w:t>2</w:t>
      </w:r>
      <w:r>
        <w:rPr>
          <w:rFonts w:hint="eastAsia"/>
          <w:b/>
          <w:sz w:val="28"/>
          <w:szCs w:val="28"/>
        </w:rPr>
        <w:t>、</w:t>
      </w:r>
      <w:r w:rsidR="00AC01E4" w:rsidRPr="00ED01FC">
        <w:rPr>
          <w:rFonts w:hint="eastAsia"/>
          <w:b/>
          <w:sz w:val="28"/>
          <w:szCs w:val="28"/>
        </w:rPr>
        <w:t>核心管理团队履历</w:t>
      </w:r>
    </w:p>
    <w:p w:rsidR="008D479E" w:rsidRDefault="008D479E" w:rsidP="008D479E">
      <w:pPr>
        <w:spacing w:line="360" w:lineRule="auto"/>
        <w:rPr>
          <w:bCs/>
          <w:color w:val="FF0000"/>
          <w:sz w:val="24"/>
          <w:szCs w:val="24"/>
        </w:rPr>
      </w:pPr>
      <w:r>
        <w:rPr>
          <w:rFonts w:hint="eastAsia"/>
          <w:bCs/>
          <w:color w:val="FF0000"/>
          <w:sz w:val="24"/>
          <w:szCs w:val="24"/>
        </w:rPr>
        <w:t>（介绍一下管理团队成员，学历，履历，业绩等）</w:t>
      </w:r>
    </w:p>
    <w:p w:rsidR="00FD3CCD" w:rsidRDefault="008D479E" w:rsidP="008D479E">
      <w:pPr>
        <w:rPr>
          <w:b/>
          <w:sz w:val="28"/>
          <w:szCs w:val="28"/>
        </w:rPr>
      </w:pPr>
      <w:r w:rsidRPr="008D479E">
        <w:rPr>
          <w:rFonts w:hint="eastAsia"/>
          <w:b/>
          <w:sz w:val="28"/>
          <w:szCs w:val="28"/>
        </w:rPr>
        <w:t>3</w:t>
      </w:r>
      <w:r w:rsidRPr="008D479E">
        <w:rPr>
          <w:rFonts w:hint="eastAsia"/>
          <w:b/>
          <w:sz w:val="28"/>
          <w:szCs w:val="28"/>
        </w:rPr>
        <w:t>、</w:t>
      </w:r>
      <w:r w:rsidR="00AC01E4" w:rsidRPr="008D479E">
        <w:rPr>
          <w:rFonts w:hint="eastAsia"/>
          <w:b/>
          <w:sz w:val="28"/>
          <w:szCs w:val="28"/>
        </w:rPr>
        <w:t>基金管理团队优势</w:t>
      </w:r>
    </w:p>
    <w:p w:rsidR="008D479E" w:rsidRPr="008D479E" w:rsidRDefault="008D479E" w:rsidP="008D479E">
      <w:pPr>
        <w:spacing w:line="360" w:lineRule="auto"/>
        <w:rPr>
          <w:bCs/>
          <w:color w:val="FF0000"/>
          <w:sz w:val="24"/>
          <w:szCs w:val="24"/>
        </w:rPr>
      </w:pPr>
      <w:r>
        <w:rPr>
          <w:rFonts w:hint="eastAsia"/>
          <w:bCs/>
          <w:color w:val="FF0000"/>
          <w:sz w:val="24"/>
          <w:szCs w:val="24"/>
        </w:rPr>
        <w:t>（介绍一下管理团队优势）</w:t>
      </w:r>
    </w:p>
    <w:p w:rsidR="00631E90" w:rsidRDefault="008D479E" w:rsidP="000732DE">
      <w:pPr>
        <w:rPr>
          <w:b/>
          <w:sz w:val="28"/>
          <w:szCs w:val="28"/>
        </w:rPr>
      </w:pPr>
      <w:r w:rsidRPr="008D479E">
        <w:rPr>
          <w:rFonts w:hint="eastAsia"/>
          <w:b/>
          <w:sz w:val="28"/>
          <w:szCs w:val="28"/>
        </w:rPr>
        <w:t>4</w:t>
      </w:r>
      <w:r w:rsidRPr="008D479E">
        <w:rPr>
          <w:rFonts w:hint="eastAsia"/>
          <w:b/>
          <w:sz w:val="28"/>
          <w:szCs w:val="28"/>
        </w:rPr>
        <w:t>、</w:t>
      </w:r>
      <w:r w:rsidR="00AC01E4" w:rsidRPr="008D479E">
        <w:rPr>
          <w:rFonts w:hint="eastAsia"/>
          <w:b/>
          <w:sz w:val="28"/>
          <w:szCs w:val="28"/>
        </w:rPr>
        <w:t>过往投资业绩及部分成功案例分析</w:t>
      </w:r>
    </w:p>
    <w:p w:rsidR="00356855" w:rsidRPr="00356855" w:rsidRDefault="00356855" w:rsidP="00356855">
      <w:pPr>
        <w:spacing w:line="360" w:lineRule="auto"/>
        <w:rPr>
          <w:bCs/>
          <w:color w:val="FF0000"/>
          <w:sz w:val="24"/>
          <w:szCs w:val="24"/>
        </w:rPr>
      </w:pPr>
      <w:r>
        <w:rPr>
          <w:rFonts w:hint="eastAsia"/>
          <w:bCs/>
          <w:color w:val="FF0000"/>
          <w:sz w:val="24"/>
          <w:szCs w:val="24"/>
        </w:rPr>
        <w:t>（过往管理基金业绩情况</w:t>
      </w:r>
      <w:bookmarkStart w:id="0" w:name="_GoBack"/>
      <w:bookmarkEnd w:id="0"/>
      <w:r>
        <w:rPr>
          <w:rFonts w:hint="eastAsia"/>
          <w:bCs/>
          <w:color w:val="FF0000"/>
          <w:sz w:val="24"/>
          <w:szCs w:val="24"/>
        </w:rPr>
        <w:t>）</w:t>
      </w:r>
    </w:p>
    <w:tbl>
      <w:tblPr>
        <w:tblW w:w="6495" w:type="pct"/>
        <w:tblInd w:w="-1382" w:type="dxa"/>
        <w:tblLook w:val="04A0"/>
      </w:tblPr>
      <w:tblGrid>
        <w:gridCol w:w="1096"/>
        <w:gridCol w:w="1096"/>
        <w:gridCol w:w="1536"/>
        <w:gridCol w:w="1096"/>
        <w:gridCol w:w="1096"/>
        <w:gridCol w:w="1316"/>
        <w:gridCol w:w="1316"/>
        <w:gridCol w:w="1316"/>
        <w:gridCol w:w="546"/>
        <w:gridCol w:w="656"/>
      </w:tblGrid>
      <w:tr w:rsidR="000732DE" w:rsidRPr="000732DE" w:rsidTr="000732DE">
        <w:trPr>
          <w:trHeight w:val="27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过往管理基金业绩</w:t>
            </w:r>
          </w:p>
        </w:tc>
      </w:tr>
      <w:tr w:rsidR="000732DE" w:rsidRPr="000732DE" w:rsidTr="000732DE">
        <w:trPr>
          <w:trHeight w:val="270"/>
        </w:trPr>
        <w:tc>
          <w:tcPr>
            <w:tcW w:w="495" w:type="pct"/>
            <w:tcBorders>
              <w:top w:val="nil"/>
              <w:left w:val="single" w:sz="4" w:space="0" w:color="auto"/>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基金名称</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项目名称</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基金起止时间</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基金规模</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投资成本</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已退出金额</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未退出估值</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投资收益率</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IRR</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备注</w:t>
            </w:r>
          </w:p>
        </w:tc>
      </w:tr>
      <w:tr w:rsidR="000732DE" w:rsidRPr="000732DE" w:rsidTr="000732DE">
        <w:trPr>
          <w:trHeight w:val="270"/>
        </w:trPr>
        <w:tc>
          <w:tcPr>
            <w:tcW w:w="49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**基金</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项目1</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项目2</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项目3</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732DE" w:rsidRPr="000732DE" w:rsidRDefault="000732DE" w:rsidP="000732DE">
            <w:pPr>
              <w:widowControl/>
              <w:jc w:val="center"/>
              <w:rPr>
                <w:rFonts w:ascii="宋体" w:hAnsi="宋体" w:cs="宋体"/>
                <w:color w:val="000000"/>
                <w:kern w:val="0"/>
                <w:sz w:val="22"/>
                <w:szCs w:val="22"/>
              </w:rPr>
            </w:pPr>
            <w:r w:rsidRPr="000732DE">
              <w:rPr>
                <w:rFonts w:ascii="宋体" w:hAnsi="宋体" w:cs="宋体" w:hint="eastAsia"/>
                <w:color w:val="000000"/>
                <w:kern w:val="0"/>
                <w:sz w:val="22"/>
                <w:szCs w:val="22"/>
              </w:rPr>
              <w:t>**基金</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项目1</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项目2</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r w:rsidR="000732DE" w:rsidRPr="000732DE" w:rsidTr="000732DE">
        <w:trPr>
          <w:trHeight w:val="270"/>
        </w:trPr>
        <w:tc>
          <w:tcPr>
            <w:tcW w:w="495" w:type="pct"/>
            <w:vMerge/>
            <w:tcBorders>
              <w:top w:val="nil"/>
              <w:left w:val="single" w:sz="4" w:space="0" w:color="auto"/>
              <w:bottom w:val="single" w:sz="4" w:space="0" w:color="000000"/>
              <w:right w:val="single" w:sz="4" w:space="0" w:color="auto"/>
            </w:tcBorders>
            <w:vAlign w:val="center"/>
            <w:hideMark/>
          </w:tcPr>
          <w:p w:rsidR="000732DE" w:rsidRPr="000732DE" w:rsidRDefault="000732DE" w:rsidP="000732DE">
            <w:pPr>
              <w:widowControl/>
              <w:jc w:val="left"/>
              <w:rPr>
                <w:rFonts w:ascii="宋体" w:hAnsi="宋体" w:cs="宋体"/>
                <w:color w:val="000000"/>
                <w:kern w:val="0"/>
                <w:sz w:val="22"/>
                <w:szCs w:val="22"/>
              </w:rPr>
            </w:pP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项目3</w:t>
            </w:r>
          </w:p>
        </w:tc>
        <w:tc>
          <w:tcPr>
            <w:tcW w:w="6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495"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594"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47"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0732DE" w:rsidRPr="000732DE" w:rsidRDefault="000732DE" w:rsidP="000732DE">
            <w:pPr>
              <w:widowControl/>
              <w:jc w:val="left"/>
              <w:rPr>
                <w:rFonts w:ascii="宋体" w:hAnsi="宋体" w:cs="宋体"/>
                <w:color w:val="000000"/>
                <w:kern w:val="0"/>
                <w:sz w:val="22"/>
                <w:szCs w:val="22"/>
              </w:rPr>
            </w:pPr>
            <w:r w:rsidRPr="000732DE">
              <w:rPr>
                <w:rFonts w:ascii="宋体" w:hAnsi="宋体" w:cs="宋体" w:hint="eastAsia"/>
                <w:color w:val="000000"/>
                <w:kern w:val="0"/>
                <w:sz w:val="22"/>
                <w:szCs w:val="22"/>
              </w:rPr>
              <w:t xml:space="preserve">　</w:t>
            </w:r>
          </w:p>
        </w:tc>
      </w:tr>
    </w:tbl>
    <w:p w:rsidR="00957212" w:rsidRDefault="000732DE" w:rsidP="00631E90">
      <w:pPr>
        <w:spacing w:line="360" w:lineRule="auto"/>
        <w:rPr>
          <w:bCs/>
          <w:color w:val="FF0000"/>
          <w:sz w:val="24"/>
          <w:szCs w:val="24"/>
        </w:rPr>
      </w:pPr>
      <w:r>
        <w:rPr>
          <w:rFonts w:hint="eastAsia"/>
          <w:bCs/>
          <w:color w:val="FF0000"/>
          <w:sz w:val="24"/>
          <w:szCs w:val="24"/>
        </w:rPr>
        <w:t>（曾参与过的案例，包括</w:t>
      </w:r>
      <w:r>
        <w:rPr>
          <w:rFonts w:hint="eastAsia"/>
          <w:bCs/>
          <w:color w:val="FF0000"/>
          <w:sz w:val="24"/>
          <w:szCs w:val="24"/>
        </w:rPr>
        <w:t>IPO</w:t>
      </w:r>
      <w:r>
        <w:rPr>
          <w:rFonts w:hint="eastAsia"/>
          <w:bCs/>
          <w:color w:val="FF0000"/>
          <w:sz w:val="24"/>
          <w:szCs w:val="24"/>
        </w:rPr>
        <w:t>案例，新三板、创业板案例，并购案例，定增案例等，投资时间，目前投资公司的现状，投资收益率如何）</w:t>
      </w:r>
    </w:p>
    <w:p w:rsidR="000732DE" w:rsidRDefault="000732DE" w:rsidP="00631E90">
      <w:pPr>
        <w:spacing w:line="360" w:lineRule="auto"/>
        <w:rPr>
          <w:bCs/>
          <w:color w:val="FF0000"/>
          <w:sz w:val="24"/>
          <w:szCs w:val="24"/>
        </w:rPr>
      </w:pPr>
    </w:p>
    <w:p w:rsidR="00957212" w:rsidRDefault="004A7E30" w:rsidP="00957212">
      <w:pPr>
        <w:rPr>
          <w:b/>
          <w:sz w:val="32"/>
          <w:szCs w:val="32"/>
        </w:rPr>
      </w:pPr>
      <w:r w:rsidRPr="004A7E30">
        <w:rPr>
          <w:rFonts w:hint="eastAsia"/>
          <w:b/>
          <w:sz w:val="32"/>
          <w:szCs w:val="32"/>
        </w:rPr>
        <w:t>三、</w:t>
      </w:r>
      <w:r w:rsidR="00D27D1B">
        <w:rPr>
          <w:rFonts w:hint="eastAsia"/>
          <w:b/>
          <w:sz w:val="32"/>
          <w:szCs w:val="32"/>
        </w:rPr>
        <w:t>项目市场前景、政策导向、运营方式及竞争优劣势</w:t>
      </w:r>
    </w:p>
    <w:p w:rsidR="00957212" w:rsidRDefault="00957212" w:rsidP="00957212">
      <w:pPr>
        <w:rPr>
          <w:bCs/>
          <w:color w:val="FF0000"/>
          <w:sz w:val="24"/>
          <w:szCs w:val="24"/>
        </w:rPr>
      </w:pPr>
      <w:r w:rsidRPr="00957212">
        <w:rPr>
          <w:rFonts w:hint="eastAsia"/>
          <w:bCs/>
          <w:color w:val="FF0000"/>
          <w:sz w:val="24"/>
          <w:szCs w:val="24"/>
        </w:rPr>
        <w:t>（分析一下行业概况，国内外行业现状以及行业特点）</w:t>
      </w:r>
    </w:p>
    <w:p w:rsidR="00957212" w:rsidRDefault="00957212" w:rsidP="00957212">
      <w:pPr>
        <w:rPr>
          <w:bCs/>
          <w:color w:val="FF0000"/>
          <w:sz w:val="24"/>
          <w:szCs w:val="24"/>
        </w:rPr>
      </w:pPr>
    </w:p>
    <w:p w:rsidR="0097608E" w:rsidRDefault="0097608E" w:rsidP="0097608E">
      <w:pPr>
        <w:rPr>
          <w:b/>
          <w:sz w:val="32"/>
          <w:szCs w:val="32"/>
        </w:rPr>
      </w:pPr>
      <w:r w:rsidRPr="00957212">
        <w:rPr>
          <w:rFonts w:hint="eastAsia"/>
          <w:b/>
          <w:sz w:val="32"/>
          <w:szCs w:val="32"/>
        </w:rPr>
        <w:t>四、</w:t>
      </w:r>
      <w:r>
        <w:rPr>
          <w:rFonts w:hint="eastAsia"/>
          <w:b/>
          <w:sz w:val="32"/>
          <w:szCs w:val="32"/>
        </w:rPr>
        <w:t>项目经济效益分析</w:t>
      </w:r>
    </w:p>
    <w:p w:rsidR="0097608E" w:rsidRDefault="0097608E" w:rsidP="0097608E">
      <w:pPr>
        <w:rPr>
          <w:bCs/>
          <w:color w:val="FF0000"/>
          <w:sz w:val="24"/>
          <w:szCs w:val="24"/>
        </w:rPr>
      </w:pPr>
      <w:r w:rsidRPr="00957212">
        <w:rPr>
          <w:rFonts w:hint="eastAsia"/>
          <w:bCs/>
          <w:color w:val="FF0000"/>
          <w:sz w:val="24"/>
          <w:szCs w:val="24"/>
        </w:rPr>
        <w:t>（</w:t>
      </w:r>
      <w:r>
        <w:rPr>
          <w:rFonts w:hint="eastAsia"/>
          <w:bCs/>
          <w:color w:val="FF0000"/>
          <w:sz w:val="24"/>
          <w:szCs w:val="24"/>
        </w:rPr>
        <w:t>经营目标分析；投资成本、投资回收期及运营成本；盈利能力测算和分析；承受能力和偿债能力；</w:t>
      </w:r>
      <w:r w:rsidRPr="00957212">
        <w:rPr>
          <w:rFonts w:hint="eastAsia"/>
          <w:bCs/>
          <w:color w:val="FF0000"/>
          <w:sz w:val="24"/>
          <w:szCs w:val="24"/>
        </w:rPr>
        <w:t>）</w:t>
      </w:r>
    </w:p>
    <w:p w:rsidR="0097608E" w:rsidRPr="0097608E" w:rsidRDefault="0097608E" w:rsidP="00957212">
      <w:pPr>
        <w:rPr>
          <w:bCs/>
          <w:color w:val="FF0000"/>
          <w:sz w:val="24"/>
          <w:szCs w:val="24"/>
        </w:rPr>
      </w:pPr>
    </w:p>
    <w:p w:rsidR="00957212" w:rsidRDefault="0097608E" w:rsidP="00957212">
      <w:pPr>
        <w:rPr>
          <w:b/>
          <w:sz w:val="32"/>
          <w:szCs w:val="32"/>
        </w:rPr>
      </w:pPr>
      <w:r>
        <w:rPr>
          <w:rFonts w:hint="eastAsia"/>
          <w:b/>
          <w:sz w:val="32"/>
          <w:szCs w:val="32"/>
        </w:rPr>
        <w:t>五</w:t>
      </w:r>
      <w:r w:rsidR="00AC01E4" w:rsidRPr="00957212">
        <w:rPr>
          <w:rFonts w:hint="eastAsia"/>
          <w:b/>
          <w:sz w:val="32"/>
          <w:szCs w:val="32"/>
        </w:rPr>
        <w:t>、基金风险揭示</w:t>
      </w:r>
      <w:r w:rsidR="00374D50">
        <w:rPr>
          <w:rFonts w:hint="eastAsia"/>
          <w:b/>
          <w:sz w:val="32"/>
          <w:szCs w:val="32"/>
        </w:rPr>
        <w:t>及防范措施</w:t>
      </w:r>
    </w:p>
    <w:p w:rsidR="00957212" w:rsidRPr="008137AD" w:rsidRDefault="0097608E" w:rsidP="00957212">
      <w:pPr>
        <w:rPr>
          <w:bCs/>
          <w:color w:val="FF0000"/>
          <w:sz w:val="24"/>
          <w:szCs w:val="24"/>
        </w:rPr>
      </w:pPr>
      <w:r w:rsidRPr="00957212">
        <w:rPr>
          <w:rFonts w:hint="eastAsia"/>
          <w:bCs/>
          <w:color w:val="FF0000"/>
          <w:sz w:val="24"/>
          <w:szCs w:val="24"/>
        </w:rPr>
        <w:t>（分析</w:t>
      </w:r>
      <w:r>
        <w:rPr>
          <w:rFonts w:hint="eastAsia"/>
          <w:bCs/>
          <w:color w:val="FF0000"/>
          <w:sz w:val="24"/>
          <w:szCs w:val="24"/>
        </w:rPr>
        <w:t>基金运营过程中存在的各类风险及相对应的风险防范措施</w:t>
      </w:r>
      <w:r w:rsidRPr="00957212">
        <w:rPr>
          <w:rFonts w:hint="eastAsia"/>
          <w:bCs/>
          <w:color w:val="FF0000"/>
          <w:sz w:val="24"/>
          <w:szCs w:val="24"/>
        </w:rPr>
        <w:t>）</w:t>
      </w:r>
    </w:p>
    <w:p w:rsidR="00FD3CCD" w:rsidRDefault="008137AD" w:rsidP="00957212">
      <w:pPr>
        <w:rPr>
          <w:b/>
          <w:sz w:val="32"/>
          <w:szCs w:val="32"/>
        </w:rPr>
      </w:pPr>
      <w:r>
        <w:rPr>
          <w:rFonts w:hint="eastAsia"/>
          <w:b/>
          <w:sz w:val="32"/>
          <w:szCs w:val="32"/>
        </w:rPr>
        <w:lastRenderedPageBreak/>
        <w:t>六</w:t>
      </w:r>
      <w:r w:rsidR="00AC01E4" w:rsidRPr="00957212">
        <w:rPr>
          <w:rFonts w:hint="eastAsia"/>
          <w:b/>
          <w:sz w:val="32"/>
          <w:szCs w:val="32"/>
        </w:rPr>
        <w:t>、基金投资策略及退出模式</w:t>
      </w:r>
      <w:bookmarkStart w:id="1" w:name="_Toc471998718"/>
    </w:p>
    <w:p w:rsidR="00957212" w:rsidRDefault="00957212" w:rsidP="00957212">
      <w:pPr>
        <w:spacing w:line="360" w:lineRule="auto"/>
        <w:rPr>
          <w:b/>
          <w:sz w:val="24"/>
          <w:szCs w:val="24"/>
        </w:rPr>
      </w:pPr>
      <w:r>
        <w:rPr>
          <w:rFonts w:hint="eastAsia"/>
          <w:b/>
          <w:sz w:val="24"/>
          <w:szCs w:val="24"/>
        </w:rPr>
        <w:t>1</w:t>
      </w:r>
      <w:r>
        <w:rPr>
          <w:rFonts w:hint="eastAsia"/>
          <w:b/>
          <w:sz w:val="24"/>
          <w:szCs w:val="24"/>
        </w:rPr>
        <w:t>、策略概况</w:t>
      </w:r>
      <w:r w:rsidR="0097608E">
        <w:rPr>
          <w:rFonts w:hint="eastAsia"/>
          <w:b/>
          <w:sz w:val="24"/>
          <w:szCs w:val="24"/>
        </w:rPr>
        <w:t>：</w:t>
      </w:r>
    </w:p>
    <w:p w:rsidR="00957212" w:rsidRDefault="00957212" w:rsidP="00957212">
      <w:pPr>
        <w:spacing w:line="360" w:lineRule="auto"/>
        <w:rPr>
          <w:bCs/>
          <w:color w:val="FF0000"/>
          <w:sz w:val="24"/>
          <w:szCs w:val="24"/>
        </w:rPr>
      </w:pPr>
      <w:r>
        <w:rPr>
          <w:rFonts w:hint="eastAsia"/>
          <w:bCs/>
          <w:color w:val="FF0000"/>
          <w:sz w:val="24"/>
          <w:szCs w:val="24"/>
        </w:rPr>
        <w:t>（包括基金的投资范围、投资领域）</w:t>
      </w:r>
    </w:p>
    <w:p w:rsidR="00957212" w:rsidRDefault="00957212" w:rsidP="00957212">
      <w:pPr>
        <w:numPr>
          <w:ilvl w:val="0"/>
          <w:numId w:val="28"/>
        </w:numPr>
        <w:spacing w:line="360" w:lineRule="auto"/>
        <w:rPr>
          <w:b/>
          <w:sz w:val="24"/>
          <w:szCs w:val="24"/>
        </w:rPr>
      </w:pPr>
      <w:r>
        <w:rPr>
          <w:rFonts w:hint="eastAsia"/>
          <w:b/>
          <w:sz w:val="24"/>
          <w:szCs w:val="24"/>
        </w:rPr>
        <w:t>投资决策</w:t>
      </w:r>
      <w:r w:rsidR="008137AD">
        <w:rPr>
          <w:rFonts w:hint="eastAsia"/>
          <w:b/>
          <w:sz w:val="24"/>
          <w:szCs w:val="24"/>
        </w:rPr>
        <w:t>（请逐一披露）</w:t>
      </w:r>
      <w:r>
        <w:rPr>
          <w:rFonts w:hint="eastAsia"/>
          <w:b/>
          <w:sz w:val="24"/>
          <w:szCs w:val="24"/>
        </w:rPr>
        <w:t>：</w:t>
      </w:r>
    </w:p>
    <w:p w:rsidR="00957212" w:rsidRDefault="00957212" w:rsidP="00957212">
      <w:pPr>
        <w:spacing w:line="360" w:lineRule="auto"/>
        <w:rPr>
          <w:bCs/>
          <w:color w:val="FF0000"/>
          <w:sz w:val="24"/>
          <w:szCs w:val="24"/>
        </w:rPr>
      </w:pPr>
      <w:r>
        <w:rPr>
          <w:rFonts w:hint="eastAsia"/>
          <w:bCs/>
          <w:color w:val="FF0000"/>
          <w:sz w:val="24"/>
          <w:szCs w:val="24"/>
        </w:rPr>
        <w:t>（包括</w:t>
      </w:r>
      <w:r w:rsidR="008137AD">
        <w:rPr>
          <w:rFonts w:hint="eastAsia"/>
          <w:bCs/>
          <w:color w:val="FF0000"/>
          <w:sz w:val="24"/>
          <w:szCs w:val="24"/>
        </w:rPr>
        <w:t>管理人制度建设情况，</w:t>
      </w:r>
      <w:r>
        <w:rPr>
          <w:rFonts w:hint="eastAsia"/>
          <w:bCs/>
          <w:color w:val="FF0000"/>
          <w:sz w:val="24"/>
          <w:szCs w:val="24"/>
        </w:rPr>
        <w:t>投资决策流程，</w:t>
      </w:r>
      <w:r w:rsidR="008137AD">
        <w:rPr>
          <w:rFonts w:hint="eastAsia"/>
          <w:bCs/>
          <w:color w:val="FF0000"/>
          <w:sz w:val="24"/>
          <w:szCs w:val="24"/>
        </w:rPr>
        <w:t>各投资方的权利与义务，风险控制措施</w:t>
      </w:r>
      <w:r>
        <w:rPr>
          <w:rFonts w:hint="eastAsia"/>
          <w:bCs/>
          <w:color w:val="FF0000"/>
          <w:sz w:val="24"/>
          <w:szCs w:val="24"/>
        </w:rPr>
        <w:t>，投资决策的制度，投委会的设置</w:t>
      </w:r>
      <w:r w:rsidR="008137AD">
        <w:rPr>
          <w:rFonts w:hint="eastAsia"/>
          <w:bCs/>
          <w:color w:val="FF0000"/>
          <w:sz w:val="24"/>
          <w:szCs w:val="24"/>
        </w:rPr>
        <w:t>等</w:t>
      </w:r>
      <w:r>
        <w:rPr>
          <w:rFonts w:hint="eastAsia"/>
          <w:bCs/>
          <w:color w:val="FF0000"/>
          <w:sz w:val="24"/>
          <w:szCs w:val="24"/>
        </w:rPr>
        <w:t>）</w:t>
      </w:r>
    </w:p>
    <w:p w:rsidR="00957212" w:rsidRDefault="00957212" w:rsidP="00957212">
      <w:pPr>
        <w:numPr>
          <w:ilvl w:val="0"/>
          <w:numId w:val="28"/>
        </w:numPr>
        <w:spacing w:line="360" w:lineRule="auto"/>
        <w:rPr>
          <w:b/>
          <w:sz w:val="24"/>
          <w:szCs w:val="24"/>
        </w:rPr>
      </w:pPr>
      <w:r>
        <w:rPr>
          <w:rFonts w:hint="eastAsia"/>
          <w:b/>
          <w:sz w:val="24"/>
          <w:szCs w:val="24"/>
        </w:rPr>
        <w:t>退出策略：</w:t>
      </w:r>
    </w:p>
    <w:p w:rsidR="00957212" w:rsidRDefault="00957212" w:rsidP="00957212">
      <w:pPr>
        <w:spacing w:line="360" w:lineRule="auto"/>
        <w:rPr>
          <w:bCs/>
          <w:color w:val="FF0000"/>
          <w:sz w:val="24"/>
          <w:szCs w:val="24"/>
        </w:rPr>
      </w:pPr>
      <w:r>
        <w:rPr>
          <w:rFonts w:hint="eastAsia"/>
          <w:bCs/>
          <w:color w:val="FF0000"/>
          <w:sz w:val="24"/>
          <w:szCs w:val="24"/>
        </w:rPr>
        <w:t>（未来项目以何种方式退出）</w:t>
      </w:r>
    </w:p>
    <w:bookmarkEnd w:id="1"/>
    <w:p w:rsidR="00633FDB" w:rsidRPr="00873753" w:rsidRDefault="00633FDB" w:rsidP="00633FDB"/>
    <w:sectPr w:rsidR="00633FDB" w:rsidRPr="00873753" w:rsidSect="00E17683">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435" w:rsidRDefault="003F5435">
      <w:r>
        <w:separator/>
      </w:r>
    </w:p>
  </w:endnote>
  <w:endnote w:type="continuationSeparator" w:id="1">
    <w:p w:rsidR="003F5435" w:rsidRDefault="003F5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ont-weight : 400">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083" w:rsidRDefault="001C3899">
    <w:pPr>
      <w:pStyle w:val="a3"/>
      <w:rPr>
        <w:rFonts w:cs="Times New Roman"/>
      </w:rPr>
    </w:pPr>
    <w:r w:rsidRPr="001C3899">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" filled="f" stroked="f" strokeweight=".5pt">
          <v:textbox style="mso-fit-shape-to-text:t" inset="0,0,0,0">
            <w:txbxContent>
              <w:p w:rsidR="004E2083" w:rsidRDefault="001C3899">
                <w:pPr>
                  <w:snapToGrid w:val="0"/>
                  <w:rPr>
                    <w:rFonts w:cs="Times New Roman"/>
                    <w:sz w:val="18"/>
                    <w:szCs w:val="18"/>
                  </w:rPr>
                </w:pPr>
                <w:r w:rsidRPr="001C3899">
                  <w:fldChar w:fldCharType="begin"/>
                </w:r>
                <w:r w:rsidR="004E2083">
                  <w:instrText xml:space="preserve"> PAGE  \* MERGEFORMAT </w:instrText>
                </w:r>
                <w:r w:rsidRPr="001C3899">
                  <w:fldChar w:fldCharType="separate"/>
                </w:r>
                <w:r w:rsidR="002A2137" w:rsidRPr="002A2137">
                  <w:rPr>
                    <w:noProof/>
                    <w:sz w:val="18"/>
                    <w:szCs w:val="18"/>
                  </w:rPr>
                  <w:t>1</w:t>
                </w:r>
                <w:r>
                  <w:rPr>
                    <w:sz w:val="18"/>
                    <w:szCs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435" w:rsidRDefault="003F5435">
      <w:r>
        <w:separator/>
      </w:r>
    </w:p>
  </w:footnote>
  <w:footnote w:type="continuationSeparator" w:id="1">
    <w:p w:rsidR="003F5435" w:rsidRDefault="003F5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083" w:rsidRDefault="004E2083">
    <w:pPr>
      <w:pStyle w:val="a4"/>
      <w:pBdr>
        <w:top w:val="none" w:sz="0" w:space="0" w:color="auto"/>
        <w:left w:val="none" w:sz="0" w:space="0" w:color="auto"/>
        <w:bottom w:val="single" w:sz="4" w:space="1" w:color="auto"/>
        <w:right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2EA"/>
    <w:multiLevelType w:val="hybridMultilevel"/>
    <w:tmpl w:val="CE6ED6A6"/>
    <w:lvl w:ilvl="0" w:tplc="301AE264">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3A97A66"/>
    <w:multiLevelType w:val="multilevel"/>
    <w:tmpl w:val="13A97A66"/>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2">
    <w:nsid w:val="186806A9"/>
    <w:multiLevelType w:val="multilevel"/>
    <w:tmpl w:val="186806A9"/>
    <w:lvl w:ilvl="0">
      <w:start w:val="1"/>
      <w:numFmt w:val="chineseCountingThousand"/>
      <w:lvlText w:val="（%1）"/>
      <w:lvlJc w:val="left"/>
      <w:pPr>
        <w:ind w:left="480" w:hanging="480"/>
      </w:pPr>
      <w:rPr>
        <w:rFonts w:hint="eastAsia"/>
      </w:rPr>
    </w:lvl>
    <w:lvl w:ilvl="1">
      <w:start w:val="1"/>
      <w:numFmt w:val="decimal"/>
      <w:lvlText w:val="（%2）"/>
      <w:lvlJc w:val="left"/>
      <w:pPr>
        <w:tabs>
          <w:tab w:val="left" w:pos="1200"/>
        </w:tabs>
        <w:ind w:left="1200" w:hanging="720"/>
      </w:pPr>
      <w:rPr>
        <w:rFonts w:hint="default"/>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1A2A7468"/>
    <w:multiLevelType w:val="hybridMultilevel"/>
    <w:tmpl w:val="2FFC29F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3F111B5"/>
    <w:multiLevelType w:val="multilevel"/>
    <w:tmpl w:val="23F111B5"/>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5">
    <w:nsid w:val="37D22DCD"/>
    <w:multiLevelType w:val="hybridMultilevel"/>
    <w:tmpl w:val="7180B310"/>
    <w:lvl w:ilvl="0" w:tplc="53F081C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13B2DA7"/>
    <w:multiLevelType w:val="multilevel"/>
    <w:tmpl w:val="413B2DA7"/>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7">
    <w:nsid w:val="49212925"/>
    <w:multiLevelType w:val="multilevel"/>
    <w:tmpl w:val="49212925"/>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8">
    <w:nsid w:val="4BAD70D0"/>
    <w:multiLevelType w:val="multilevel"/>
    <w:tmpl w:val="4BAD70D0"/>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9">
    <w:nsid w:val="5864D0BC"/>
    <w:multiLevelType w:val="singleLevel"/>
    <w:tmpl w:val="5864D0BC"/>
    <w:lvl w:ilvl="0">
      <w:start w:val="2"/>
      <w:numFmt w:val="decimal"/>
      <w:suff w:val="nothing"/>
      <w:lvlText w:val="%1、"/>
      <w:lvlJc w:val="left"/>
    </w:lvl>
  </w:abstractNum>
  <w:abstractNum w:abstractNumId="10">
    <w:nsid w:val="599CE390"/>
    <w:multiLevelType w:val="singleLevel"/>
    <w:tmpl w:val="D43EE98A"/>
    <w:lvl w:ilvl="0">
      <w:start w:val="1"/>
      <w:numFmt w:val="decimal"/>
      <w:suff w:val="nothing"/>
      <w:lvlText w:val="%1、"/>
      <w:lvlJc w:val="left"/>
      <w:rPr>
        <w:rFonts w:ascii="宋体" w:eastAsia="宋体" w:hAnsi="宋体" w:cs="宋体"/>
      </w:rPr>
    </w:lvl>
  </w:abstractNum>
  <w:abstractNum w:abstractNumId="11">
    <w:nsid w:val="59C0D1FC"/>
    <w:multiLevelType w:val="singleLevel"/>
    <w:tmpl w:val="59C0D1FC"/>
    <w:lvl w:ilvl="0">
      <w:start w:val="4"/>
      <w:numFmt w:val="decimal"/>
      <w:suff w:val="nothing"/>
      <w:lvlText w:val="%1、"/>
      <w:lvlJc w:val="left"/>
    </w:lvl>
  </w:abstractNum>
  <w:abstractNum w:abstractNumId="12">
    <w:nsid w:val="59C0D3B6"/>
    <w:multiLevelType w:val="singleLevel"/>
    <w:tmpl w:val="59C0D3B6"/>
    <w:lvl w:ilvl="0">
      <w:start w:val="3"/>
      <w:numFmt w:val="chineseCounting"/>
      <w:suff w:val="nothing"/>
      <w:lvlText w:val="%1、"/>
      <w:lvlJc w:val="left"/>
    </w:lvl>
  </w:abstractNum>
  <w:abstractNum w:abstractNumId="13">
    <w:nsid w:val="59C204DB"/>
    <w:multiLevelType w:val="singleLevel"/>
    <w:tmpl w:val="59C204DB"/>
    <w:lvl w:ilvl="0">
      <w:start w:val="2"/>
      <w:numFmt w:val="decimal"/>
      <w:suff w:val="nothing"/>
      <w:lvlText w:val="%1、"/>
      <w:lvlJc w:val="left"/>
    </w:lvl>
  </w:abstractNum>
  <w:abstractNum w:abstractNumId="14">
    <w:nsid w:val="59C2052F"/>
    <w:multiLevelType w:val="singleLevel"/>
    <w:tmpl w:val="59C2052F"/>
    <w:lvl w:ilvl="0">
      <w:start w:val="1"/>
      <w:numFmt w:val="bullet"/>
      <w:lvlText w:val=""/>
      <w:lvlJc w:val="left"/>
      <w:pPr>
        <w:ind w:left="420" w:hanging="420"/>
      </w:pPr>
      <w:rPr>
        <w:rFonts w:ascii="Wingdings" w:hAnsi="Wingdings" w:hint="default"/>
      </w:rPr>
    </w:lvl>
  </w:abstractNum>
  <w:abstractNum w:abstractNumId="15">
    <w:nsid w:val="59C20DB7"/>
    <w:multiLevelType w:val="singleLevel"/>
    <w:tmpl w:val="59C20DB7"/>
    <w:lvl w:ilvl="0">
      <w:start w:val="3"/>
      <w:numFmt w:val="decimal"/>
      <w:suff w:val="nothing"/>
      <w:lvlText w:val="%1、"/>
      <w:lvlJc w:val="left"/>
    </w:lvl>
  </w:abstractNum>
  <w:abstractNum w:abstractNumId="16">
    <w:nsid w:val="59C21803"/>
    <w:multiLevelType w:val="singleLevel"/>
    <w:tmpl w:val="59C21803"/>
    <w:lvl w:ilvl="0">
      <w:start w:val="2"/>
      <w:numFmt w:val="decimal"/>
      <w:suff w:val="nothing"/>
      <w:lvlText w:val="%1、"/>
      <w:lvlJc w:val="left"/>
    </w:lvl>
  </w:abstractNum>
  <w:abstractNum w:abstractNumId="17">
    <w:nsid w:val="59C21DC1"/>
    <w:multiLevelType w:val="singleLevel"/>
    <w:tmpl w:val="59C21DC1"/>
    <w:lvl w:ilvl="0">
      <w:start w:val="1"/>
      <w:numFmt w:val="bullet"/>
      <w:lvlText w:val=""/>
      <w:lvlJc w:val="left"/>
      <w:pPr>
        <w:ind w:left="420" w:hanging="420"/>
      </w:pPr>
      <w:rPr>
        <w:rFonts w:ascii="Wingdings" w:hAnsi="Wingdings" w:hint="default"/>
      </w:rPr>
    </w:lvl>
  </w:abstractNum>
  <w:abstractNum w:abstractNumId="18">
    <w:nsid w:val="59C21DFA"/>
    <w:multiLevelType w:val="singleLevel"/>
    <w:tmpl w:val="59C21DFA"/>
    <w:lvl w:ilvl="0">
      <w:start w:val="1"/>
      <w:numFmt w:val="bullet"/>
      <w:lvlText w:val=""/>
      <w:lvlJc w:val="left"/>
      <w:pPr>
        <w:ind w:left="420" w:hanging="420"/>
      </w:pPr>
      <w:rPr>
        <w:rFonts w:ascii="Wingdings" w:hAnsi="Wingdings" w:hint="default"/>
      </w:rPr>
    </w:lvl>
  </w:abstractNum>
  <w:abstractNum w:abstractNumId="19">
    <w:nsid w:val="59C21F5E"/>
    <w:multiLevelType w:val="singleLevel"/>
    <w:tmpl w:val="59C21F5E"/>
    <w:lvl w:ilvl="0">
      <w:start w:val="1"/>
      <w:numFmt w:val="bullet"/>
      <w:lvlText w:val=""/>
      <w:lvlJc w:val="left"/>
      <w:pPr>
        <w:ind w:left="420" w:hanging="420"/>
      </w:pPr>
      <w:rPr>
        <w:rFonts w:ascii="Wingdings" w:hAnsi="Wingdings" w:hint="default"/>
      </w:rPr>
    </w:lvl>
  </w:abstractNum>
  <w:abstractNum w:abstractNumId="20">
    <w:nsid w:val="59C21FA1"/>
    <w:multiLevelType w:val="singleLevel"/>
    <w:tmpl w:val="59C21FA1"/>
    <w:lvl w:ilvl="0">
      <w:start w:val="1"/>
      <w:numFmt w:val="bullet"/>
      <w:lvlText w:val=""/>
      <w:lvlJc w:val="left"/>
      <w:pPr>
        <w:ind w:left="420" w:hanging="420"/>
      </w:pPr>
      <w:rPr>
        <w:rFonts w:ascii="Wingdings" w:hAnsi="Wingdings" w:hint="default"/>
      </w:rPr>
    </w:lvl>
  </w:abstractNum>
  <w:abstractNum w:abstractNumId="21">
    <w:nsid w:val="59C21FB5"/>
    <w:multiLevelType w:val="singleLevel"/>
    <w:tmpl w:val="59C21FB5"/>
    <w:lvl w:ilvl="0">
      <w:start w:val="1"/>
      <w:numFmt w:val="bullet"/>
      <w:lvlText w:val=""/>
      <w:lvlJc w:val="left"/>
      <w:pPr>
        <w:ind w:left="420" w:hanging="420"/>
      </w:pPr>
      <w:rPr>
        <w:rFonts w:ascii="Wingdings" w:hAnsi="Wingdings" w:hint="default"/>
      </w:rPr>
    </w:lvl>
  </w:abstractNum>
  <w:abstractNum w:abstractNumId="22">
    <w:nsid w:val="59C21FF5"/>
    <w:multiLevelType w:val="singleLevel"/>
    <w:tmpl w:val="59C21FF5"/>
    <w:lvl w:ilvl="0">
      <w:start w:val="1"/>
      <w:numFmt w:val="bullet"/>
      <w:lvlText w:val=""/>
      <w:lvlJc w:val="left"/>
      <w:pPr>
        <w:ind w:left="420" w:hanging="420"/>
      </w:pPr>
      <w:rPr>
        <w:rFonts w:ascii="Wingdings" w:hAnsi="Wingdings" w:hint="default"/>
      </w:rPr>
    </w:lvl>
  </w:abstractNum>
  <w:abstractNum w:abstractNumId="23">
    <w:nsid w:val="59C2206A"/>
    <w:multiLevelType w:val="singleLevel"/>
    <w:tmpl w:val="59C2206A"/>
    <w:lvl w:ilvl="0">
      <w:start w:val="1"/>
      <w:numFmt w:val="bullet"/>
      <w:lvlText w:val=""/>
      <w:lvlJc w:val="left"/>
      <w:pPr>
        <w:ind w:left="420" w:hanging="420"/>
      </w:pPr>
      <w:rPr>
        <w:rFonts w:ascii="Wingdings" w:hAnsi="Wingdings" w:hint="default"/>
      </w:rPr>
    </w:lvl>
  </w:abstractNum>
  <w:abstractNum w:abstractNumId="24">
    <w:nsid w:val="5E9A096E"/>
    <w:multiLevelType w:val="hybridMultilevel"/>
    <w:tmpl w:val="C32871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A645493"/>
    <w:multiLevelType w:val="multilevel"/>
    <w:tmpl w:val="6A645493"/>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26">
    <w:nsid w:val="741A67FB"/>
    <w:multiLevelType w:val="multilevel"/>
    <w:tmpl w:val="741A67FB"/>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abstractNum w:abstractNumId="27">
    <w:nsid w:val="7B29326E"/>
    <w:multiLevelType w:val="hybridMultilevel"/>
    <w:tmpl w:val="BDD87E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7F1353BE"/>
    <w:multiLevelType w:val="multilevel"/>
    <w:tmpl w:val="7F1353BE"/>
    <w:lvl w:ilvl="0">
      <w:start w:val="1"/>
      <w:numFmt w:val="decimal"/>
      <w:lvlText w:val="%1."/>
      <w:lvlJc w:val="left"/>
      <w:pPr>
        <w:ind w:left="360" w:hanging="360"/>
      </w:pPr>
      <w:rPr>
        <w:rFonts w:hint="eastAsia"/>
      </w:rPr>
    </w:lvl>
    <w:lvl w:ilvl="1">
      <w:start w:val="1"/>
      <w:numFmt w:val="decimal"/>
      <w:lvlText w:val="（%2）"/>
      <w:lvlJc w:val="left"/>
      <w:pPr>
        <w:ind w:left="1080" w:hanging="720"/>
      </w:pPr>
      <w:rPr>
        <w:rFonts w:hint="eastAsia"/>
      </w:rPr>
    </w:lvl>
    <w:lvl w:ilvl="2">
      <w:start w:val="1"/>
      <w:numFmt w:val="decimal"/>
      <w:isLgl/>
      <w:lvlText w:val="%1.%2.%3."/>
      <w:lvlJc w:val="left"/>
      <w:pPr>
        <w:ind w:left="1440" w:hanging="720"/>
      </w:pPr>
      <w:rPr>
        <w:rFonts w:hint="eastAsia"/>
      </w:rPr>
    </w:lvl>
    <w:lvl w:ilvl="3">
      <w:start w:val="1"/>
      <w:numFmt w:val="decimal"/>
      <w:isLgl/>
      <w:lvlText w:val="%1.%2.%3.%4."/>
      <w:lvlJc w:val="left"/>
      <w:pPr>
        <w:ind w:left="2160" w:hanging="108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3240" w:hanging="1440"/>
      </w:pPr>
      <w:rPr>
        <w:rFonts w:hint="eastAsia"/>
      </w:rPr>
    </w:lvl>
    <w:lvl w:ilvl="6">
      <w:start w:val="1"/>
      <w:numFmt w:val="decimal"/>
      <w:isLgl/>
      <w:lvlText w:val="%1.%2.%3.%4.%5.%6.%7."/>
      <w:lvlJc w:val="left"/>
      <w:pPr>
        <w:ind w:left="3960" w:hanging="1800"/>
      </w:pPr>
      <w:rPr>
        <w:rFonts w:hint="eastAsia"/>
      </w:rPr>
    </w:lvl>
    <w:lvl w:ilvl="7">
      <w:start w:val="1"/>
      <w:numFmt w:val="decimal"/>
      <w:isLgl/>
      <w:lvlText w:val="%1.%2.%3.%4.%5.%6.%7.%8."/>
      <w:lvlJc w:val="left"/>
      <w:pPr>
        <w:ind w:left="4320" w:hanging="1800"/>
      </w:pPr>
      <w:rPr>
        <w:rFonts w:hint="eastAsia"/>
      </w:rPr>
    </w:lvl>
    <w:lvl w:ilvl="8">
      <w:start w:val="1"/>
      <w:numFmt w:val="decimal"/>
      <w:isLgl/>
      <w:lvlText w:val="%1.%2.%3.%4.%5.%6.%7.%8.%9."/>
      <w:lvlJc w:val="left"/>
      <w:pPr>
        <w:ind w:left="5040" w:hanging="2160"/>
      </w:pPr>
      <w:rPr>
        <w:rFonts w:hint="eastAsia"/>
      </w:rPr>
    </w:lvl>
  </w:abstractNum>
  <w:num w:numId="1">
    <w:abstractNumId w:val="13"/>
  </w:num>
  <w:num w:numId="2">
    <w:abstractNumId w:val="14"/>
  </w:num>
  <w:num w:numId="3">
    <w:abstractNumId w:val="15"/>
  </w:num>
  <w:num w:numId="4">
    <w:abstractNumId w:val="11"/>
  </w:num>
  <w:num w:numId="5">
    <w:abstractNumId w:val="12"/>
  </w:num>
  <w:num w:numId="6">
    <w:abstractNumId w:val="16"/>
  </w:num>
  <w:num w:numId="7">
    <w:abstractNumId w:val="17"/>
  </w:num>
  <w:num w:numId="8">
    <w:abstractNumId w:val="25"/>
  </w:num>
  <w:num w:numId="9">
    <w:abstractNumId w:val="18"/>
  </w:num>
  <w:num w:numId="10">
    <w:abstractNumId w:val="7"/>
  </w:num>
  <w:num w:numId="11">
    <w:abstractNumId w:val="19"/>
  </w:num>
  <w:num w:numId="12">
    <w:abstractNumId w:val="26"/>
  </w:num>
  <w:num w:numId="13">
    <w:abstractNumId w:val="20"/>
  </w:num>
  <w:num w:numId="14">
    <w:abstractNumId w:val="1"/>
  </w:num>
  <w:num w:numId="15">
    <w:abstractNumId w:val="21"/>
  </w:num>
  <w:num w:numId="16">
    <w:abstractNumId w:val="28"/>
  </w:num>
  <w:num w:numId="17">
    <w:abstractNumId w:val="22"/>
  </w:num>
  <w:num w:numId="18">
    <w:abstractNumId w:val="8"/>
  </w:num>
  <w:num w:numId="19">
    <w:abstractNumId w:val="23"/>
  </w:num>
  <w:num w:numId="20">
    <w:abstractNumId w:val="6"/>
  </w:num>
  <w:num w:numId="21">
    <w:abstractNumId w:val="4"/>
  </w:num>
  <w:num w:numId="22">
    <w:abstractNumId w:val="2"/>
  </w:num>
  <w:num w:numId="23">
    <w:abstractNumId w:val="10"/>
  </w:num>
  <w:num w:numId="24">
    <w:abstractNumId w:val="0"/>
  </w:num>
  <w:num w:numId="25">
    <w:abstractNumId w:val="3"/>
  </w:num>
  <w:num w:numId="26">
    <w:abstractNumId w:val="24"/>
  </w:num>
  <w:num w:numId="27">
    <w:abstractNumId w:val="27"/>
  </w:num>
  <w:num w:numId="28">
    <w:abstractNumId w:val="9"/>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
  <w:rsids>
    <w:rsidRoot w:val="00172A27"/>
    <w:rsid w:val="000732DE"/>
    <w:rsid w:val="000D0E53"/>
    <w:rsid w:val="000E6B17"/>
    <w:rsid w:val="00162CAA"/>
    <w:rsid w:val="00165A6E"/>
    <w:rsid w:val="00172A27"/>
    <w:rsid w:val="00177535"/>
    <w:rsid w:val="00192642"/>
    <w:rsid w:val="001A2D58"/>
    <w:rsid w:val="001C3899"/>
    <w:rsid w:val="00235500"/>
    <w:rsid w:val="0026698B"/>
    <w:rsid w:val="00267EFA"/>
    <w:rsid w:val="00274D3D"/>
    <w:rsid w:val="0029160A"/>
    <w:rsid w:val="0029238B"/>
    <w:rsid w:val="002A2137"/>
    <w:rsid w:val="002A7F9B"/>
    <w:rsid w:val="002B4A24"/>
    <w:rsid w:val="002E7EC3"/>
    <w:rsid w:val="00314177"/>
    <w:rsid w:val="0031510D"/>
    <w:rsid w:val="00356855"/>
    <w:rsid w:val="00371639"/>
    <w:rsid w:val="00374D50"/>
    <w:rsid w:val="00387371"/>
    <w:rsid w:val="003F5435"/>
    <w:rsid w:val="00444087"/>
    <w:rsid w:val="004633E8"/>
    <w:rsid w:val="004674A9"/>
    <w:rsid w:val="004779F8"/>
    <w:rsid w:val="004A7E30"/>
    <w:rsid w:val="004E2083"/>
    <w:rsid w:val="0050714D"/>
    <w:rsid w:val="00513E00"/>
    <w:rsid w:val="005170E9"/>
    <w:rsid w:val="00534CC7"/>
    <w:rsid w:val="00535BC6"/>
    <w:rsid w:val="00574235"/>
    <w:rsid w:val="005D3F74"/>
    <w:rsid w:val="005D7C4D"/>
    <w:rsid w:val="005F7C24"/>
    <w:rsid w:val="00631E90"/>
    <w:rsid w:val="00633FDB"/>
    <w:rsid w:val="006D3A93"/>
    <w:rsid w:val="00714753"/>
    <w:rsid w:val="00763AA4"/>
    <w:rsid w:val="00780D7B"/>
    <w:rsid w:val="007D403A"/>
    <w:rsid w:val="007D73DC"/>
    <w:rsid w:val="007E08C8"/>
    <w:rsid w:val="008031D2"/>
    <w:rsid w:val="008137AD"/>
    <w:rsid w:val="0084438C"/>
    <w:rsid w:val="00851A39"/>
    <w:rsid w:val="008557F3"/>
    <w:rsid w:val="00873753"/>
    <w:rsid w:val="008D479E"/>
    <w:rsid w:val="008E0840"/>
    <w:rsid w:val="00902102"/>
    <w:rsid w:val="00957212"/>
    <w:rsid w:val="0097608E"/>
    <w:rsid w:val="009C653A"/>
    <w:rsid w:val="009C764B"/>
    <w:rsid w:val="00A50255"/>
    <w:rsid w:val="00AA3DA4"/>
    <w:rsid w:val="00AC01E4"/>
    <w:rsid w:val="00AC2D89"/>
    <w:rsid w:val="00B126C2"/>
    <w:rsid w:val="00B31643"/>
    <w:rsid w:val="00BA7B8D"/>
    <w:rsid w:val="00BE22B8"/>
    <w:rsid w:val="00C471E0"/>
    <w:rsid w:val="00CB6D0C"/>
    <w:rsid w:val="00D06EF2"/>
    <w:rsid w:val="00D27D1B"/>
    <w:rsid w:val="00D77580"/>
    <w:rsid w:val="00DC2859"/>
    <w:rsid w:val="00DC7FA4"/>
    <w:rsid w:val="00E17683"/>
    <w:rsid w:val="00E26680"/>
    <w:rsid w:val="00E81730"/>
    <w:rsid w:val="00E86B17"/>
    <w:rsid w:val="00EC7766"/>
    <w:rsid w:val="00ED01FC"/>
    <w:rsid w:val="00F31AB4"/>
    <w:rsid w:val="00F36838"/>
    <w:rsid w:val="00FA322C"/>
    <w:rsid w:val="00FD3CCD"/>
    <w:rsid w:val="00FE1B17"/>
    <w:rsid w:val="01623D63"/>
    <w:rsid w:val="016A4DFD"/>
    <w:rsid w:val="01830B89"/>
    <w:rsid w:val="01C82561"/>
    <w:rsid w:val="01D653D6"/>
    <w:rsid w:val="02135969"/>
    <w:rsid w:val="023150F4"/>
    <w:rsid w:val="023E34F9"/>
    <w:rsid w:val="028B001D"/>
    <w:rsid w:val="02B24921"/>
    <w:rsid w:val="02BB1E92"/>
    <w:rsid w:val="02E6394B"/>
    <w:rsid w:val="0372561C"/>
    <w:rsid w:val="037F10B6"/>
    <w:rsid w:val="03A90DE8"/>
    <w:rsid w:val="03EC7E1F"/>
    <w:rsid w:val="043D72C1"/>
    <w:rsid w:val="056266FC"/>
    <w:rsid w:val="0565414A"/>
    <w:rsid w:val="060A0C7D"/>
    <w:rsid w:val="065A264C"/>
    <w:rsid w:val="0679344F"/>
    <w:rsid w:val="06804FC2"/>
    <w:rsid w:val="07C63B10"/>
    <w:rsid w:val="07C808A9"/>
    <w:rsid w:val="07E54168"/>
    <w:rsid w:val="082037EC"/>
    <w:rsid w:val="0887551E"/>
    <w:rsid w:val="08902A5A"/>
    <w:rsid w:val="09386A26"/>
    <w:rsid w:val="09760E97"/>
    <w:rsid w:val="09864CD8"/>
    <w:rsid w:val="09BB4367"/>
    <w:rsid w:val="0A5463C8"/>
    <w:rsid w:val="0A960702"/>
    <w:rsid w:val="0A9B5D94"/>
    <w:rsid w:val="0AA60DDB"/>
    <w:rsid w:val="0ADE01DE"/>
    <w:rsid w:val="0AE83D98"/>
    <w:rsid w:val="0B1A0FA4"/>
    <w:rsid w:val="0B9224DE"/>
    <w:rsid w:val="0BBF237B"/>
    <w:rsid w:val="0C050D6D"/>
    <w:rsid w:val="0C1F4FD1"/>
    <w:rsid w:val="0C7542BB"/>
    <w:rsid w:val="0C8E6385"/>
    <w:rsid w:val="0C8F4BBE"/>
    <w:rsid w:val="0CC6693F"/>
    <w:rsid w:val="0D61066F"/>
    <w:rsid w:val="0D8B568D"/>
    <w:rsid w:val="0E14414E"/>
    <w:rsid w:val="0E383AE0"/>
    <w:rsid w:val="0E9F488C"/>
    <w:rsid w:val="0EBA1A43"/>
    <w:rsid w:val="0ED01521"/>
    <w:rsid w:val="0ED777B3"/>
    <w:rsid w:val="0F170DAC"/>
    <w:rsid w:val="0F193DEE"/>
    <w:rsid w:val="0F785E85"/>
    <w:rsid w:val="0FA0278A"/>
    <w:rsid w:val="0FC51FFE"/>
    <w:rsid w:val="0FE631BF"/>
    <w:rsid w:val="0FF42F0C"/>
    <w:rsid w:val="10BC4C13"/>
    <w:rsid w:val="10EC7F99"/>
    <w:rsid w:val="114D0EEB"/>
    <w:rsid w:val="118B1089"/>
    <w:rsid w:val="11D055C2"/>
    <w:rsid w:val="1236496E"/>
    <w:rsid w:val="123D56C8"/>
    <w:rsid w:val="12493D69"/>
    <w:rsid w:val="12580EFC"/>
    <w:rsid w:val="12C0370C"/>
    <w:rsid w:val="13215763"/>
    <w:rsid w:val="132468B4"/>
    <w:rsid w:val="13622F56"/>
    <w:rsid w:val="136D6262"/>
    <w:rsid w:val="13AF67F1"/>
    <w:rsid w:val="13C36750"/>
    <w:rsid w:val="13ED1D12"/>
    <w:rsid w:val="148A55AB"/>
    <w:rsid w:val="14994E84"/>
    <w:rsid w:val="14AE26FC"/>
    <w:rsid w:val="14B821D2"/>
    <w:rsid w:val="15067932"/>
    <w:rsid w:val="15112FBE"/>
    <w:rsid w:val="15537BFE"/>
    <w:rsid w:val="156626A8"/>
    <w:rsid w:val="15D644FF"/>
    <w:rsid w:val="16454085"/>
    <w:rsid w:val="16C02D81"/>
    <w:rsid w:val="16CD64B7"/>
    <w:rsid w:val="16F24940"/>
    <w:rsid w:val="1739445C"/>
    <w:rsid w:val="173C279C"/>
    <w:rsid w:val="1744794E"/>
    <w:rsid w:val="17554860"/>
    <w:rsid w:val="176C31FF"/>
    <w:rsid w:val="17CF42CC"/>
    <w:rsid w:val="17D315AE"/>
    <w:rsid w:val="180038A6"/>
    <w:rsid w:val="18040301"/>
    <w:rsid w:val="180B2367"/>
    <w:rsid w:val="180D5F95"/>
    <w:rsid w:val="18560A05"/>
    <w:rsid w:val="18695813"/>
    <w:rsid w:val="18CB714F"/>
    <w:rsid w:val="19411695"/>
    <w:rsid w:val="19712580"/>
    <w:rsid w:val="198B0D51"/>
    <w:rsid w:val="198C7AC9"/>
    <w:rsid w:val="1A5F2250"/>
    <w:rsid w:val="1A7231E2"/>
    <w:rsid w:val="1A726B5F"/>
    <w:rsid w:val="1AB50B62"/>
    <w:rsid w:val="1BCA7129"/>
    <w:rsid w:val="1C4D1193"/>
    <w:rsid w:val="1C555F4C"/>
    <w:rsid w:val="1C5F1758"/>
    <w:rsid w:val="1C77659A"/>
    <w:rsid w:val="1CD73F62"/>
    <w:rsid w:val="1D9132EF"/>
    <w:rsid w:val="1D9946CD"/>
    <w:rsid w:val="1DD94638"/>
    <w:rsid w:val="1E012EE9"/>
    <w:rsid w:val="1E3E4D29"/>
    <w:rsid w:val="1E765A6A"/>
    <w:rsid w:val="1E825A16"/>
    <w:rsid w:val="1F126CDF"/>
    <w:rsid w:val="1F4B31D0"/>
    <w:rsid w:val="1F86461D"/>
    <w:rsid w:val="1F9C7943"/>
    <w:rsid w:val="1FAA050D"/>
    <w:rsid w:val="1FFB18CA"/>
    <w:rsid w:val="2000486D"/>
    <w:rsid w:val="20053F46"/>
    <w:rsid w:val="20074854"/>
    <w:rsid w:val="20EF0FA8"/>
    <w:rsid w:val="21400EDA"/>
    <w:rsid w:val="21485CF0"/>
    <w:rsid w:val="21883A73"/>
    <w:rsid w:val="218B1453"/>
    <w:rsid w:val="21E13C58"/>
    <w:rsid w:val="22314063"/>
    <w:rsid w:val="228B1578"/>
    <w:rsid w:val="228E6EE7"/>
    <w:rsid w:val="22B22993"/>
    <w:rsid w:val="22D07FC8"/>
    <w:rsid w:val="22D864A5"/>
    <w:rsid w:val="22F85F5F"/>
    <w:rsid w:val="231617BA"/>
    <w:rsid w:val="233224F0"/>
    <w:rsid w:val="23550AF4"/>
    <w:rsid w:val="235B311B"/>
    <w:rsid w:val="23711F35"/>
    <w:rsid w:val="23EE3889"/>
    <w:rsid w:val="23F8241E"/>
    <w:rsid w:val="24037B65"/>
    <w:rsid w:val="244B44B7"/>
    <w:rsid w:val="24DE56DD"/>
    <w:rsid w:val="252B66B3"/>
    <w:rsid w:val="25666EFA"/>
    <w:rsid w:val="25CD2CCD"/>
    <w:rsid w:val="25FC15BA"/>
    <w:rsid w:val="26131627"/>
    <w:rsid w:val="26342587"/>
    <w:rsid w:val="264C6EA7"/>
    <w:rsid w:val="26DA4961"/>
    <w:rsid w:val="271F077D"/>
    <w:rsid w:val="2726283D"/>
    <w:rsid w:val="27813EDD"/>
    <w:rsid w:val="28107CC6"/>
    <w:rsid w:val="28372881"/>
    <w:rsid w:val="28945FCC"/>
    <w:rsid w:val="28FB1D4F"/>
    <w:rsid w:val="290D3E75"/>
    <w:rsid w:val="295002C1"/>
    <w:rsid w:val="297A0650"/>
    <w:rsid w:val="29C477D8"/>
    <w:rsid w:val="29CF6076"/>
    <w:rsid w:val="2ABF4A6D"/>
    <w:rsid w:val="2ACD0F3F"/>
    <w:rsid w:val="2AD5784F"/>
    <w:rsid w:val="2AD87622"/>
    <w:rsid w:val="2AF524DA"/>
    <w:rsid w:val="2AFD5BDD"/>
    <w:rsid w:val="2B2C3C7D"/>
    <w:rsid w:val="2B5C361E"/>
    <w:rsid w:val="2BA232C1"/>
    <w:rsid w:val="2C204AF9"/>
    <w:rsid w:val="2CF92B2A"/>
    <w:rsid w:val="2D3C4CC0"/>
    <w:rsid w:val="2D4B781A"/>
    <w:rsid w:val="2DB04579"/>
    <w:rsid w:val="2DC6764F"/>
    <w:rsid w:val="2DC86822"/>
    <w:rsid w:val="2E055D58"/>
    <w:rsid w:val="2E0F1EC6"/>
    <w:rsid w:val="2E0F4743"/>
    <w:rsid w:val="2E221DFC"/>
    <w:rsid w:val="2E710D36"/>
    <w:rsid w:val="2EB402F6"/>
    <w:rsid w:val="2EFE0D2F"/>
    <w:rsid w:val="2F2274D0"/>
    <w:rsid w:val="2F77316E"/>
    <w:rsid w:val="2F9E7121"/>
    <w:rsid w:val="2FE87001"/>
    <w:rsid w:val="3023780C"/>
    <w:rsid w:val="30A65020"/>
    <w:rsid w:val="31172766"/>
    <w:rsid w:val="31210309"/>
    <w:rsid w:val="313618ED"/>
    <w:rsid w:val="314617C2"/>
    <w:rsid w:val="31592320"/>
    <w:rsid w:val="317405FA"/>
    <w:rsid w:val="321E3C31"/>
    <w:rsid w:val="32280F39"/>
    <w:rsid w:val="324F4401"/>
    <w:rsid w:val="328A6220"/>
    <w:rsid w:val="32925294"/>
    <w:rsid w:val="331310C0"/>
    <w:rsid w:val="33256758"/>
    <w:rsid w:val="34732C81"/>
    <w:rsid w:val="355B1641"/>
    <w:rsid w:val="35662ABB"/>
    <w:rsid w:val="357F62A3"/>
    <w:rsid w:val="359F6271"/>
    <w:rsid w:val="35B55AB1"/>
    <w:rsid w:val="35D04953"/>
    <w:rsid w:val="36355656"/>
    <w:rsid w:val="36AC18B5"/>
    <w:rsid w:val="37020F70"/>
    <w:rsid w:val="371C680D"/>
    <w:rsid w:val="371F506A"/>
    <w:rsid w:val="374E17E2"/>
    <w:rsid w:val="374E4AAE"/>
    <w:rsid w:val="379075A8"/>
    <w:rsid w:val="37E05153"/>
    <w:rsid w:val="37E21B39"/>
    <w:rsid w:val="38000C55"/>
    <w:rsid w:val="38607814"/>
    <w:rsid w:val="387956A4"/>
    <w:rsid w:val="38912306"/>
    <w:rsid w:val="38CB2F43"/>
    <w:rsid w:val="399709A3"/>
    <w:rsid w:val="39B24B18"/>
    <w:rsid w:val="39C975B8"/>
    <w:rsid w:val="3A0E4911"/>
    <w:rsid w:val="3A25565D"/>
    <w:rsid w:val="3A3D4D9F"/>
    <w:rsid w:val="3A8D39F4"/>
    <w:rsid w:val="3AAF4DED"/>
    <w:rsid w:val="3AD91E1F"/>
    <w:rsid w:val="3AEE16B7"/>
    <w:rsid w:val="3B142420"/>
    <w:rsid w:val="3B2A0018"/>
    <w:rsid w:val="3B62591F"/>
    <w:rsid w:val="3B713628"/>
    <w:rsid w:val="3B871F32"/>
    <w:rsid w:val="3BB51E7B"/>
    <w:rsid w:val="3BCE37F6"/>
    <w:rsid w:val="3C1E483C"/>
    <w:rsid w:val="3C2E65C5"/>
    <w:rsid w:val="3C75315D"/>
    <w:rsid w:val="3C7870E9"/>
    <w:rsid w:val="3C93015E"/>
    <w:rsid w:val="3CDD1BB1"/>
    <w:rsid w:val="3CFE3272"/>
    <w:rsid w:val="3D191D72"/>
    <w:rsid w:val="3D671C8A"/>
    <w:rsid w:val="3DC77259"/>
    <w:rsid w:val="3DF91062"/>
    <w:rsid w:val="3E4B1F9D"/>
    <w:rsid w:val="3E950E83"/>
    <w:rsid w:val="3EDD5E6C"/>
    <w:rsid w:val="3F2B5034"/>
    <w:rsid w:val="3F4A6664"/>
    <w:rsid w:val="3FD9134C"/>
    <w:rsid w:val="404F24A4"/>
    <w:rsid w:val="406227A3"/>
    <w:rsid w:val="40A56F23"/>
    <w:rsid w:val="40B37F65"/>
    <w:rsid w:val="40F62834"/>
    <w:rsid w:val="412C24E6"/>
    <w:rsid w:val="41327122"/>
    <w:rsid w:val="41446821"/>
    <w:rsid w:val="415E0CEA"/>
    <w:rsid w:val="41952862"/>
    <w:rsid w:val="41BD531F"/>
    <w:rsid w:val="41D65D68"/>
    <w:rsid w:val="4220588C"/>
    <w:rsid w:val="42561B4A"/>
    <w:rsid w:val="42715C0D"/>
    <w:rsid w:val="42A9071E"/>
    <w:rsid w:val="42AB17E2"/>
    <w:rsid w:val="42D80379"/>
    <w:rsid w:val="42F1675D"/>
    <w:rsid w:val="435319A9"/>
    <w:rsid w:val="44136D8B"/>
    <w:rsid w:val="44354191"/>
    <w:rsid w:val="444A4B7C"/>
    <w:rsid w:val="44561019"/>
    <w:rsid w:val="44686FE4"/>
    <w:rsid w:val="446B015F"/>
    <w:rsid w:val="44BE2A6E"/>
    <w:rsid w:val="44EE680F"/>
    <w:rsid w:val="4504390B"/>
    <w:rsid w:val="45181782"/>
    <w:rsid w:val="4525141B"/>
    <w:rsid w:val="455A380C"/>
    <w:rsid w:val="45657328"/>
    <w:rsid w:val="45941448"/>
    <w:rsid w:val="45A673CD"/>
    <w:rsid w:val="46091BB6"/>
    <w:rsid w:val="466C56F2"/>
    <w:rsid w:val="46CF5802"/>
    <w:rsid w:val="46E62F76"/>
    <w:rsid w:val="4715390A"/>
    <w:rsid w:val="477D4CC6"/>
    <w:rsid w:val="47856388"/>
    <w:rsid w:val="47A043BE"/>
    <w:rsid w:val="47A84A5C"/>
    <w:rsid w:val="47B17125"/>
    <w:rsid w:val="47DE311C"/>
    <w:rsid w:val="47E0644A"/>
    <w:rsid w:val="48090B82"/>
    <w:rsid w:val="48501014"/>
    <w:rsid w:val="48516BA3"/>
    <w:rsid w:val="486E5FDC"/>
    <w:rsid w:val="48B12C20"/>
    <w:rsid w:val="48F76883"/>
    <w:rsid w:val="48F83347"/>
    <w:rsid w:val="491A0FDD"/>
    <w:rsid w:val="49237AEF"/>
    <w:rsid w:val="49A153D6"/>
    <w:rsid w:val="49A4715A"/>
    <w:rsid w:val="49D45CFB"/>
    <w:rsid w:val="4A2942CD"/>
    <w:rsid w:val="4A3F7239"/>
    <w:rsid w:val="4A7E216A"/>
    <w:rsid w:val="4B202368"/>
    <w:rsid w:val="4B556893"/>
    <w:rsid w:val="4B5A7772"/>
    <w:rsid w:val="4B837A71"/>
    <w:rsid w:val="4BE37C29"/>
    <w:rsid w:val="4C0A51CC"/>
    <w:rsid w:val="4C0F47AA"/>
    <w:rsid w:val="4C1A380E"/>
    <w:rsid w:val="4C2F26DE"/>
    <w:rsid w:val="4C486607"/>
    <w:rsid w:val="4CC27264"/>
    <w:rsid w:val="4CD5491E"/>
    <w:rsid w:val="4CED6DE4"/>
    <w:rsid w:val="4CFF3DDD"/>
    <w:rsid w:val="4D336540"/>
    <w:rsid w:val="4E287408"/>
    <w:rsid w:val="4E5B1599"/>
    <w:rsid w:val="4E8A5C04"/>
    <w:rsid w:val="4EB607B8"/>
    <w:rsid w:val="4ECC0D19"/>
    <w:rsid w:val="4F0C7056"/>
    <w:rsid w:val="4F2A55BA"/>
    <w:rsid w:val="4F7F346F"/>
    <w:rsid w:val="4F81514E"/>
    <w:rsid w:val="50093507"/>
    <w:rsid w:val="50327B10"/>
    <w:rsid w:val="50375B77"/>
    <w:rsid w:val="506055B0"/>
    <w:rsid w:val="5078101E"/>
    <w:rsid w:val="510753F6"/>
    <w:rsid w:val="51094E4B"/>
    <w:rsid w:val="51250995"/>
    <w:rsid w:val="51921210"/>
    <w:rsid w:val="51D63A0C"/>
    <w:rsid w:val="51E24300"/>
    <w:rsid w:val="521039D0"/>
    <w:rsid w:val="52415B2C"/>
    <w:rsid w:val="5266671F"/>
    <w:rsid w:val="52911B42"/>
    <w:rsid w:val="52B20FA6"/>
    <w:rsid w:val="52C35B37"/>
    <w:rsid w:val="53270B18"/>
    <w:rsid w:val="534B17DC"/>
    <w:rsid w:val="53591A61"/>
    <w:rsid w:val="535B5A7A"/>
    <w:rsid w:val="536A5A61"/>
    <w:rsid w:val="538850B3"/>
    <w:rsid w:val="54096A03"/>
    <w:rsid w:val="54596378"/>
    <w:rsid w:val="545C4496"/>
    <w:rsid w:val="54812999"/>
    <w:rsid w:val="54C1076A"/>
    <w:rsid w:val="554C678C"/>
    <w:rsid w:val="557D67EF"/>
    <w:rsid w:val="55A50A1F"/>
    <w:rsid w:val="560358D9"/>
    <w:rsid w:val="560B188E"/>
    <w:rsid w:val="56405111"/>
    <w:rsid w:val="5648707C"/>
    <w:rsid w:val="56517BC6"/>
    <w:rsid w:val="568F7AE0"/>
    <w:rsid w:val="569703F3"/>
    <w:rsid w:val="56C962ED"/>
    <w:rsid w:val="56E448CD"/>
    <w:rsid w:val="56F159CB"/>
    <w:rsid w:val="5742653D"/>
    <w:rsid w:val="575824E2"/>
    <w:rsid w:val="575A495B"/>
    <w:rsid w:val="57603C42"/>
    <w:rsid w:val="579747C9"/>
    <w:rsid w:val="57A26118"/>
    <w:rsid w:val="57B72CAA"/>
    <w:rsid w:val="57BD33C9"/>
    <w:rsid w:val="57C4434B"/>
    <w:rsid w:val="57CE3FF4"/>
    <w:rsid w:val="586D0E58"/>
    <w:rsid w:val="589E0525"/>
    <w:rsid w:val="58AE49E1"/>
    <w:rsid w:val="58C17C87"/>
    <w:rsid w:val="58CA31F6"/>
    <w:rsid w:val="58DE0540"/>
    <w:rsid w:val="58FB3BAB"/>
    <w:rsid w:val="59192FC4"/>
    <w:rsid w:val="59227751"/>
    <w:rsid w:val="59872720"/>
    <w:rsid w:val="59A36B70"/>
    <w:rsid w:val="59D25565"/>
    <w:rsid w:val="59ED5362"/>
    <w:rsid w:val="5A0D6067"/>
    <w:rsid w:val="5B011EB1"/>
    <w:rsid w:val="5B6675D9"/>
    <w:rsid w:val="5B8645BA"/>
    <w:rsid w:val="5BC42A68"/>
    <w:rsid w:val="5BE02BA3"/>
    <w:rsid w:val="5BFA0E29"/>
    <w:rsid w:val="5C06136E"/>
    <w:rsid w:val="5C86682F"/>
    <w:rsid w:val="5CEC77B4"/>
    <w:rsid w:val="5CFC2BAF"/>
    <w:rsid w:val="5D00471C"/>
    <w:rsid w:val="5D5A5B29"/>
    <w:rsid w:val="5DA8302E"/>
    <w:rsid w:val="5DB649C6"/>
    <w:rsid w:val="5E0F6B86"/>
    <w:rsid w:val="5E422F6D"/>
    <w:rsid w:val="5E551427"/>
    <w:rsid w:val="5E755031"/>
    <w:rsid w:val="5E7D5947"/>
    <w:rsid w:val="5F2B481D"/>
    <w:rsid w:val="5F8F0E9C"/>
    <w:rsid w:val="5FC00D7F"/>
    <w:rsid w:val="60416669"/>
    <w:rsid w:val="606C5E46"/>
    <w:rsid w:val="60D70F6A"/>
    <w:rsid w:val="60ED6873"/>
    <w:rsid w:val="60F527B4"/>
    <w:rsid w:val="60F60427"/>
    <w:rsid w:val="6156315A"/>
    <w:rsid w:val="617F0CEB"/>
    <w:rsid w:val="61822BDD"/>
    <w:rsid w:val="61F35BAD"/>
    <w:rsid w:val="62085354"/>
    <w:rsid w:val="621C14FE"/>
    <w:rsid w:val="62296AA2"/>
    <w:rsid w:val="62470AB4"/>
    <w:rsid w:val="625F4120"/>
    <w:rsid w:val="627A34CD"/>
    <w:rsid w:val="62AA3164"/>
    <w:rsid w:val="62DA12CE"/>
    <w:rsid w:val="62DA7531"/>
    <w:rsid w:val="63944C06"/>
    <w:rsid w:val="649A2D17"/>
    <w:rsid w:val="64BA1B26"/>
    <w:rsid w:val="64F453DD"/>
    <w:rsid w:val="64FA658B"/>
    <w:rsid w:val="65104068"/>
    <w:rsid w:val="65290CCA"/>
    <w:rsid w:val="6585079F"/>
    <w:rsid w:val="65987939"/>
    <w:rsid w:val="65B53480"/>
    <w:rsid w:val="65C139E9"/>
    <w:rsid w:val="65E15295"/>
    <w:rsid w:val="660F527B"/>
    <w:rsid w:val="661B0958"/>
    <w:rsid w:val="6638034B"/>
    <w:rsid w:val="663D7344"/>
    <w:rsid w:val="663E6533"/>
    <w:rsid w:val="66904DE5"/>
    <w:rsid w:val="66BE5663"/>
    <w:rsid w:val="66F4385A"/>
    <w:rsid w:val="66F93A10"/>
    <w:rsid w:val="677402E2"/>
    <w:rsid w:val="67921A95"/>
    <w:rsid w:val="67EC23DE"/>
    <w:rsid w:val="68B753A7"/>
    <w:rsid w:val="69B3136B"/>
    <w:rsid w:val="69E80F05"/>
    <w:rsid w:val="6A214C24"/>
    <w:rsid w:val="6A88798C"/>
    <w:rsid w:val="6A927730"/>
    <w:rsid w:val="6AA913CD"/>
    <w:rsid w:val="6ACC71EA"/>
    <w:rsid w:val="6ADF7CEE"/>
    <w:rsid w:val="6B2F2834"/>
    <w:rsid w:val="6B687DB5"/>
    <w:rsid w:val="6B7C2065"/>
    <w:rsid w:val="6C1C6039"/>
    <w:rsid w:val="6C2526C3"/>
    <w:rsid w:val="6C5535A5"/>
    <w:rsid w:val="6C704809"/>
    <w:rsid w:val="6C7B6BEF"/>
    <w:rsid w:val="6C7E7C1C"/>
    <w:rsid w:val="6CEF1593"/>
    <w:rsid w:val="6D1C1B99"/>
    <w:rsid w:val="6D627AF4"/>
    <w:rsid w:val="6D7D6302"/>
    <w:rsid w:val="6DA174C0"/>
    <w:rsid w:val="6DB470B5"/>
    <w:rsid w:val="6E1B1A9A"/>
    <w:rsid w:val="6E2D660E"/>
    <w:rsid w:val="6E524C06"/>
    <w:rsid w:val="6E7115DD"/>
    <w:rsid w:val="6E95370A"/>
    <w:rsid w:val="6EB47B59"/>
    <w:rsid w:val="6EB64A9F"/>
    <w:rsid w:val="6EF3309F"/>
    <w:rsid w:val="6F1839E1"/>
    <w:rsid w:val="6F533A93"/>
    <w:rsid w:val="6F705C49"/>
    <w:rsid w:val="6F9A5910"/>
    <w:rsid w:val="6FA30D89"/>
    <w:rsid w:val="6FAE60A1"/>
    <w:rsid w:val="6FB200E9"/>
    <w:rsid w:val="6FBB2CC9"/>
    <w:rsid w:val="6FE25C12"/>
    <w:rsid w:val="702627E3"/>
    <w:rsid w:val="70407F6C"/>
    <w:rsid w:val="708A4755"/>
    <w:rsid w:val="709F1A71"/>
    <w:rsid w:val="70A32BEF"/>
    <w:rsid w:val="70A46BA5"/>
    <w:rsid w:val="70AB307F"/>
    <w:rsid w:val="70DF2239"/>
    <w:rsid w:val="711C4FD0"/>
    <w:rsid w:val="71B96712"/>
    <w:rsid w:val="71BD0400"/>
    <w:rsid w:val="71D93B7A"/>
    <w:rsid w:val="72262959"/>
    <w:rsid w:val="723640B7"/>
    <w:rsid w:val="726A311C"/>
    <w:rsid w:val="728F59CD"/>
    <w:rsid w:val="72B86F41"/>
    <w:rsid w:val="72E6138C"/>
    <w:rsid w:val="7324102B"/>
    <w:rsid w:val="735A1C76"/>
    <w:rsid w:val="73612616"/>
    <w:rsid w:val="73912A10"/>
    <w:rsid w:val="74052FDA"/>
    <w:rsid w:val="7407542E"/>
    <w:rsid w:val="7412060C"/>
    <w:rsid w:val="74382445"/>
    <w:rsid w:val="748E79B7"/>
    <w:rsid w:val="749F043B"/>
    <w:rsid w:val="74BD3B88"/>
    <w:rsid w:val="74D95D0C"/>
    <w:rsid w:val="75475A52"/>
    <w:rsid w:val="75B25F94"/>
    <w:rsid w:val="75D41C01"/>
    <w:rsid w:val="763437D8"/>
    <w:rsid w:val="76592667"/>
    <w:rsid w:val="766343D3"/>
    <w:rsid w:val="7666673A"/>
    <w:rsid w:val="766F103F"/>
    <w:rsid w:val="76DE2A65"/>
    <w:rsid w:val="770C35EE"/>
    <w:rsid w:val="77141A60"/>
    <w:rsid w:val="773A0648"/>
    <w:rsid w:val="78225A9A"/>
    <w:rsid w:val="7831087A"/>
    <w:rsid w:val="783655CE"/>
    <w:rsid w:val="78484A02"/>
    <w:rsid w:val="786D0461"/>
    <w:rsid w:val="78A95A92"/>
    <w:rsid w:val="78AB58EE"/>
    <w:rsid w:val="78B01D3F"/>
    <w:rsid w:val="78C406CC"/>
    <w:rsid w:val="78CD3957"/>
    <w:rsid w:val="794E4DAA"/>
    <w:rsid w:val="794E4F75"/>
    <w:rsid w:val="79525349"/>
    <w:rsid w:val="798B2230"/>
    <w:rsid w:val="79A73879"/>
    <w:rsid w:val="7A505734"/>
    <w:rsid w:val="7A85016F"/>
    <w:rsid w:val="7ABF0BBA"/>
    <w:rsid w:val="7AF66E9F"/>
    <w:rsid w:val="7B2C67B9"/>
    <w:rsid w:val="7B4E29F4"/>
    <w:rsid w:val="7B7136A0"/>
    <w:rsid w:val="7B924D9C"/>
    <w:rsid w:val="7BE57599"/>
    <w:rsid w:val="7C285124"/>
    <w:rsid w:val="7C5E2985"/>
    <w:rsid w:val="7CC221A3"/>
    <w:rsid w:val="7CCE7AFC"/>
    <w:rsid w:val="7CE32B4E"/>
    <w:rsid w:val="7CE8063B"/>
    <w:rsid w:val="7D50252E"/>
    <w:rsid w:val="7DDE2C96"/>
    <w:rsid w:val="7E57046B"/>
    <w:rsid w:val="7E617AA4"/>
    <w:rsid w:val="7E90035A"/>
    <w:rsid w:val="7E9F1B70"/>
    <w:rsid w:val="7EED77F7"/>
    <w:rsid w:val="7F3237DF"/>
    <w:rsid w:val="7F6C06F5"/>
    <w:rsid w:val="7F785669"/>
    <w:rsid w:val="7F8B5233"/>
    <w:rsid w:val="7F981CAA"/>
    <w:rsid w:val="7FB97C4D"/>
    <w:rsid w:val="7FF332BB"/>
    <w:rsid w:val="7FFD2D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7683"/>
    <w:pPr>
      <w:widowControl w:val="0"/>
      <w:jc w:val="both"/>
    </w:pPr>
    <w:rPr>
      <w:rFonts w:ascii="Calibri" w:hAnsi="Calibri" w:cs="Calibri"/>
      <w:kern w:val="2"/>
      <w:sz w:val="21"/>
      <w:szCs w:val="21"/>
    </w:rPr>
  </w:style>
  <w:style w:type="paragraph" w:styleId="1">
    <w:name w:val="heading 1"/>
    <w:basedOn w:val="a"/>
    <w:next w:val="a"/>
    <w:link w:val="1Char"/>
    <w:uiPriority w:val="99"/>
    <w:qFormat/>
    <w:rsid w:val="00E17683"/>
    <w:pPr>
      <w:keepNext/>
      <w:keepLines/>
      <w:spacing w:line="576" w:lineRule="auto"/>
      <w:outlineLvl w:val="0"/>
    </w:pPr>
    <w:rPr>
      <w:b/>
      <w:bCs/>
      <w:kern w:val="44"/>
      <w:sz w:val="44"/>
      <w:szCs w:val="44"/>
    </w:rPr>
  </w:style>
  <w:style w:type="paragraph" w:styleId="2">
    <w:name w:val="heading 2"/>
    <w:basedOn w:val="a"/>
    <w:next w:val="a"/>
    <w:link w:val="2Char"/>
    <w:uiPriority w:val="99"/>
    <w:qFormat/>
    <w:rsid w:val="00E17683"/>
    <w:pPr>
      <w:keepNext/>
      <w:keepLines/>
      <w:spacing w:line="413" w:lineRule="auto"/>
      <w:outlineLvl w:val="1"/>
    </w:pPr>
    <w:rPr>
      <w:rFonts w:ascii="Arial" w:eastAsia="黑体" w:hAnsi="Arial" w:cs="Arial"/>
      <w:b/>
      <w:bCs/>
      <w:sz w:val="32"/>
      <w:szCs w:val="32"/>
    </w:rPr>
  </w:style>
  <w:style w:type="paragraph" w:styleId="3">
    <w:name w:val="heading 3"/>
    <w:basedOn w:val="a"/>
    <w:next w:val="a"/>
    <w:link w:val="3Char"/>
    <w:uiPriority w:val="99"/>
    <w:qFormat/>
    <w:rsid w:val="00E17683"/>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17683"/>
    <w:pPr>
      <w:tabs>
        <w:tab w:val="center" w:pos="4153"/>
        <w:tab w:val="right" w:pos="8306"/>
      </w:tabs>
      <w:snapToGrid w:val="0"/>
      <w:jc w:val="left"/>
    </w:pPr>
    <w:rPr>
      <w:sz w:val="18"/>
      <w:szCs w:val="18"/>
    </w:rPr>
  </w:style>
  <w:style w:type="paragraph" w:styleId="a4">
    <w:name w:val="header"/>
    <w:basedOn w:val="a"/>
    <w:link w:val="Char0"/>
    <w:uiPriority w:val="99"/>
    <w:qFormat/>
    <w:rsid w:val="00E1768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5">
    <w:name w:val="Subtitle"/>
    <w:basedOn w:val="a"/>
    <w:next w:val="a"/>
    <w:qFormat/>
    <w:rsid w:val="00E17683"/>
    <w:pPr>
      <w:spacing w:before="240" w:after="60" w:line="312" w:lineRule="auto"/>
      <w:jc w:val="center"/>
      <w:outlineLvl w:val="1"/>
    </w:pPr>
    <w:rPr>
      <w:rFonts w:cs="Times New Roman"/>
      <w:b/>
      <w:bCs/>
      <w:kern w:val="28"/>
      <w:sz w:val="32"/>
      <w:szCs w:val="32"/>
    </w:rPr>
  </w:style>
  <w:style w:type="paragraph" w:styleId="20">
    <w:name w:val="toc 2"/>
    <w:basedOn w:val="a"/>
    <w:next w:val="a"/>
    <w:uiPriority w:val="39"/>
    <w:unhideWhenUsed/>
    <w:qFormat/>
    <w:rsid w:val="00E17683"/>
    <w:pPr>
      <w:ind w:leftChars="200" w:left="420"/>
    </w:pPr>
  </w:style>
  <w:style w:type="paragraph" w:styleId="a6">
    <w:name w:val="Normal (Web)"/>
    <w:basedOn w:val="a"/>
    <w:qFormat/>
    <w:rsid w:val="00E17683"/>
    <w:pPr>
      <w:spacing w:beforeAutospacing="1" w:afterAutospacing="1"/>
      <w:jc w:val="left"/>
    </w:pPr>
    <w:rPr>
      <w:rFonts w:cs="Times New Roman"/>
      <w:kern w:val="0"/>
      <w:sz w:val="24"/>
    </w:rPr>
  </w:style>
  <w:style w:type="character" w:styleId="a7">
    <w:name w:val="Hyperlink"/>
    <w:uiPriority w:val="99"/>
    <w:qFormat/>
    <w:rsid w:val="00E17683"/>
    <w:rPr>
      <w:color w:val="0000FF"/>
      <w:u w:val="single"/>
    </w:rPr>
  </w:style>
  <w:style w:type="table" w:styleId="a8">
    <w:name w:val="Table Grid"/>
    <w:basedOn w:val="a1"/>
    <w:uiPriority w:val="99"/>
    <w:qFormat/>
    <w:rsid w:val="00E1768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99"/>
    <w:qFormat/>
    <w:rsid w:val="00E17683"/>
    <w:pPr>
      <w:ind w:firstLineChars="200" w:firstLine="420"/>
    </w:pPr>
  </w:style>
  <w:style w:type="character" w:customStyle="1" w:styleId="font31">
    <w:name w:val="font31"/>
    <w:qFormat/>
    <w:rsid w:val="00E17683"/>
    <w:rPr>
      <w:rFonts w:ascii="font-weight : 400" w:eastAsia="font-weight : 400" w:hAnsi="font-weight : 400" w:cs="font-weight : 400"/>
      <w:color w:val="000000"/>
      <w:sz w:val="28"/>
      <w:szCs w:val="28"/>
      <w:u w:val="none"/>
    </w:rPr>
  </w:style>
  <w:style w:type="character" w:customStyle="1" w:styleId="1Char">
    <w:name w:val="标题 1 Char"/>
    <w:link w:val="1"/>
    <w:uiPriority w:val="9"/>
    <w:qFormat/>
    <w:rsid w:val="00E17683"/>
    <w:rPr>
      <w:rFonts w:cs="Calibri"/>
      <w:b/>
      <w:bCs/>
      <w:kern w:val="44"/>
      <w:sz w:val="44"/>
      <w:szCs w:val="44"/>
    </w:rPr>
  </w:style>
  <w:style w:type="character" w:customStyle="1" w:styleId="font11">
    <w:name w:val="font11"/>
    <w:qFormat/>
    <w:rsid w:val="00E17683"/>
    <w:rPr>
      <w:rFonts w:ascii="宋体" w:eastAsia="宋体" w:hAnsi="宋体" w:cs="宋体" w:hint="eastAsia"/>
      <w:color w:val="000000"/>
      <w:sz w:val="24"/>
      <w:szCs w:val="24"/>
      <w:u w:val="none"/>
    </w:rPr>
  </w:style>
  <w:style w:type="character" w:customStyle="1" w:styleId="2Char">
    <w:name w:val="标题 2 Char"/>
    <w:link w:val="2"/>
    <w:uiPriority w:val="9"/>
    <w:semiHidden/>
    <w:qFormat/>
    <w:rsid w:val="00E17683"/>
    <w:rPr>
      <w:rFonts w:ascii="Cambria" w:eastAsia="宋体" w:hAnsi="Cambria" w:cs="Times New Roman"/>
      <w:b/>
      <w:bCs/>
      <w:sz w:val="32"/>
      <w:szCs w:val="32"/>
    </w:rPr>
  </w:style>
  <w:style w:type="character" w:customStyle="1" w:styleId="font21">
    <w:name w:val="font21"/>
    <w:qFormat/>
    <w:rsid w:val="00E17683"/>
    <w:rPr>
      <w:rFonts w:ascii="Arial" w:hAnsi="Arial" w:cs="Arial" w:hint="default"/>
      <w:color w:val="000000"/>
      <w:sz w:val="24"/>
      <w:szCs w:val="24"/>
      <w:u w:val="none"/>
    </w:rPr>
  </w:style>
  <w:style w:type="character" w:customStyle="1" w:styleId="3Char">
    <w:name w:val="标题 3 Char"/>
    <w:link w:val="3"/>
    <w:uiPriority w:val="9"/>
    <w:semiHidden/>
    <w:qFormat/>
    <w:rsid w:val="00E17683"/>
    <w:rPr>
      <w:rFonts w:cs="Calibri"/>
      <w:b/>
      <w:bCs/>
      <w:sz w:val="32"/>
      <w:szCs w:val="32"/>
    </w:rPr>
  </w:style>
  <w:style w:type="character" w:customStyle="1" w:styleId="font01">
    <w:name w:val="font01"/>
    <w:qFormat/>
    <w:rsid w:val="00E17683"/>
    <w:rPr>
      <w:rFonts w:ascii="宋体" w:eastAsia="宋体" w:hAnsi="宋体" w:cs="宋体" w:hint="eastAsia"/>
      <w:color w:val="000000"/>
      <w:sz w:val="24"/>
      <w:szCs w:val="24"/>
      <w:u w:val="none"/>
    </w:rPr>
  </w:style>
  <w:style w:type="character" w:customStyle="1" w:styleId="Char">
    <w:name w:val="页脚 Char"/>
    <w:link w:val="a3"/>
    <w:uiPriority w:val="99"/>
    <w:semiHidden/>
    <w:qFormat/>
    <w:rsid w:val="00E17683"/>
    <w:rPr>
      <w:rFonts w:cs="Calibri"/>
      <w:sz w:val="18"/>
      <w:szCs w:val="18"/>
    </w:rPr>
  </w:style>
  <w:style w:type="character" w:customStyle="1" w:styleId="Char0">
    <w:name w:val="页眉 Char"/>
    <w:link w:val="a4"/>
    <w:uiPriority w:val="99"/>
    <w:semiHidden/>
    <w:qFormat/>
    <w:rsid w:val="00E17683"/>
    <w:rPr>
      <w:rFonts w:cs="Calibri"/>
      <w:sz w:val="18"/>
      <w:szCs w:val="18"/>
    </w:rPr>
  </w:style>
  <w:style w:type="paragraph" w:customStyle="1" w:styleId="Default">
    <w:name w:val="Default"/>
    <w:uiPriority w:val="99"/>
    <w:qFormat/>
    <w:rsid w:val="00E17683"/>
    <w:pPr>
      <w:widowControl w:val="0"/>
      <w:autoSpaceDE w:val="0"/>
      <w:autoSpaceDN w:val="0"/>
      <w:adjustRightInd w:val="0"/>
    </w:pPr>
    <w:rPr>
      <w:color w:val="000000"/>
      <w:sz w:val="24"/>
      <w:szCs w:val="24"/>
    </w:rPr>
  </w:style>
  <w:style w:type="paragraph" w:customStyle="1" w:styleId="-1">
    <w:name w:val="彩色列表 - 着色 1"/>
    <w:basedOn w:val="a"/>
    <w:uiPriority w:val="34"/>
    <w:qFormat/>
    <w:rsid w:val="00E17683"/>
    <w:pPr>
      <w:ind w:firstLineChars="200" w:firstLine="420"/>
    </w:pPr>
    <w:rPr>
      <w:rFonts w:cs="Times New Roman"/>
    </w:rPr>
  </w:style>
  <w:style w:type="paragraph" w:customStyle="1" w:styleId="-31">
    <w:name w:val="浅色网格 - 强调文字颜色 31"/>
    <w:basedOn w:val="a"/>
    <w:uiPriority w:val="34"/>
    <w:qFormat/>
    <w:rsid w:val="00E17683"/>
    <w:pPr>
      <w:widowControl/>
      <w:ind w:firstLineChars="200" w:firstLine="420"/>
      <w:jc w:val="left"/>
    </w:pPr>
    <w:rPr>
      <w:rFonts w:ascii="Times New Roman" w:eastAsia="等线" w:hAnsi="Times New Roman"/>
      <w:kern w:val="0"/>
    </w:rPr>
  </w:style>
  <w:style w:type="paragraph" w:styleId="a9">
    <w:name w:val="List Paragraph"/>
    <w:basedOn w:val="a"/>
    <w:uiPriority w:val="99"/>
    <w:unhideWhenUsed/>
    <w:rsid w:val="00633FD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line="576" w:lineRule="auto"/>
      <w:outlineLvl w:val="0"/>
    </w:pPr>
    <w:rPr>
      <w:b/>
      <w:bCs/>
      <w:kern w:val="44"/>
      <w:sz w:val="44"/>
      <w:szCs w:val="44"/>
    </w:rPr>
  </w:style>
  <w:style w:type="paragraph" w:styleId="2">
    <w:name w:val="heading 2"/>
    <w:basedOn w:val="a"/>
    <w:next w:val="a"/>
    <w:link w:val="2Char"/>
    <w:uiPriority w:val="99"/>
    <w:qFormat/>
    <w:pPr>
      <w:keepNext/>
      <w:keepLines/>
      <w:spacing w:line="413" w:lineRule="auto"/>
      <w:outlineLvl w:val="1"/>
    </w:pPr>
    <w:rPr>
      <w:rFonts w:ascii="Arial" w:eastAsia="黑体" w:hAnsi="Arial" w:cs="Arial"/>
      <w:b/>
      <w:bCs/>
      <w:sz w:val="32"/>
      <w:szCs w:val="32"/>
    </w:rPr>
  </w:style>
  <w:style w:type="paragraph" w:styleId="3">
    <w:name w:val="heading 3"/>
    <w:basedOn w:val="a"/>
    <w:next w:val="a"/>
    <w:link w:val="3Char"/>
    <w:uiPriority w:val="99"/>
    <w:qFormat/>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5">
    <w:name w:val="Subtitle"/>
    <w:basedOn w:val="a"/>
    <w:next w:val="a"/>
    <w:qFormat/>
    <w:pPr>
      <w:spacing w:before="240" w:after="60" w:line="312" w:lineRule="auto"/>
      <w:jc w:val="center"/>
      <w:outlineLvl w:val="1"/>
    </w:pPr>
    <w:rPr>
      <w:rFonts w:cs="Times New Roman"/>
      <w:b/>
      <w:bCs/>
      <w:kern w:val="28"/>
      <w:sz w:val="32"/>
      <w:szCs w:val="32"/>
    </w:rPr>
  </w:style>
  <w:style w:type="paragraph" w:styleId="20">
    <w:name w:val="toc 2"/>
    <w:basedOn w:val="a"/>
    <w:next w:val="a"/>
    <w:uiPriority w:val="39"/>
    <w:unhideWhenUsed/>
    <w:qFormat/>
    <w:pPr>
      <w:ind w:leftChars="200" w:left="420"/>
    </w:pPr>
  </w:style>
  <w:style w:type="paragraph" w:styleId="a6">
    <w:name w:val="Normal (Web)"/>
    <w:basedOn w:val="a"/>
    <w:qFormat/>
    <w:pPr>
      <w:spacing w:beforeAutospacing="1" w:afterAutospacing="1"/>
      <w:jc w:val="left"/>
    </w:pPr>
    <w:rPr>
      <w:rFonts w:cs="Times New Roman"/>
      <w:kern w:val="0"/>
      <w:sz w:val="24"/>
    </w:rPr>
  </w:style>
  <w:style w:type="character" w:styleId="a7">
    <w:name w:val="Hyperlink"/>
    <w:uiPriority w:val="99"/>
    <w:qFormat/>
    <w:rPr>
      <w:color w:val="0000FF"/>
      <w:u w:val="single"/>
    </w:rPr>
  </w:style>
  <w:style w:type="table" w:styleId="a8">
    <w:name w:val="Table Grid"/>
    <w:basedOn w:val="a1"/>
    <w:uiPriority w:val="9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uiPriority w:val="99"/>
    <w:qFormat/>
    <w:pPr>
      <w:ind w:firstLineChars="200" w:firstLine="420"/>
    </w:pPr>
  </w:style>
  <w:style w:type="character" w:customStyle="1" w:styleId="font31">
    <w:name w:val="font31"/>
    <w:qFormat/>
    <w:rPr>
      <w:rFonts w:ascii="font-weight : 400" w:eastAsia="font-weight : 400" w:hAnsi="font-weight : 400" w:cs="font-weight : 400"/>
      <w:color w:val="000000"/>
      <w:sz w:val="28"/>
      <w:szCs w:val="28"/>
      <w:u w:val="none"/>
    </w:rPr>
  </w:style>
  <w:style w:type="character" w:customStyle="1" w:styleId="1Char">
    <w:name w:val="标题 1 Char"/>
    <w:link w:val="1"/>
    <w:uiPriority w:val="9"/>
    <w:qFormat/>
    <w:rPr>
      <w:rFonts w:cs="Calibri"/>
      <w:b/>
      <w:bCs/>
      <w:kern w:val="44"/>
      <w:sz w:val="44"/>
      <w:szCs w:val="44"/>
    </w:rPr>
  </w:style>
  <w:style w:type="character" w:customStyle="1" w:styleId="font11">
    <w:name w:val="font11"/>
    <w:qFormat/>
    <w:rPr>
      <w:rFonts w:ascii="宋体" w:eastAsia="宋体" w:hAnsi="宋体" w:cs="宋体" w:hint="eastAsia"/>
      <w:color w:val="000000"/>
      <w:sz w:val="24"/>
      <w:szCs w:val="24"/>
      <w:u w:val="none"/>
    </w:rPr>
  </w:style>
  <w:style w:type="character" w:customStyle="1" w:styleId="2Char">
    <w:name w:val="标题 2 Char"/>
    <w:link w:val="2"/>
    <w:uiPriority w:val="9"/>
    <w:semiHidden/>
    <w:qFormat/>
    <w:rPr>
      <w:rFonts w:ascii="Cambria" w:eastAsia="宋体" w:hAnsi="Cambria" w:cs="Times New Roman"/>
      <w:b/>
      <w:bCs/>
      <w:sz w:val="32"/>
      <w:szCs w:val="32"/>
    </w:rPr>
  </w:style>
  <w:style w:type="character" w:customStyle="1" w:styleId="font21">
    <w:name w:val="font21"/>
    <w:qFormat/>
    <w:rPr>
      <w:rFonts w:ascii="Arial" w:hAnsi="Arial" w:cs="Arial" w:hint="default"/>
      <w:color w:val="000000"/>
      <w:sz w:val="24"/>
      <w:szCs w:val="24"/>
      <w:u w:val="none"/>
    </w:rPr>
  </w:style>
  <w:style w:type="character" w:customStyle="1" w:styleId="3Char">
    <w:name w:val="标题 3 Char"/>
    <w:link w:val="3"/>
    <w:uiPriority w:val="9"/>
    <w:semiHidden/>
    <w:qFormat/>
    <w:rPr>
      <w:rFonts w:cs="Calibri"/>
      <w:b/>
      <w:bCs/>
      <w:sz w:val="32"/>
      <w:szCs w:val="32"/>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
    <w:name w:val="页脚 Char"/>
    <w:link w:val="a3"/>
    <w:uiPriority w:val="99"/>
    <w:semiHidden/>
    <w:qFormat/>
    <w:rPr>
      <w:rFonts w:cs="Calibri"/>
      <w:sz w:val="18"/>
      <w:szCs w:val="18"/>
    </w:rPr>
  </w:style>
  <w:style w:type="character" w:customStyle="1" w:styleId="Char0">
    <w:name w:val="页眉 Char"/>
    <w:link w:val="a4"/>
    <w:uiPriority w:val="99"/>
    <w:semiHidden/>
    <w:qFormat/>
    <w:rPr>
      <w:rFonts w:cs="Calibri"/>
      <w:sz w:val="18"/>
      <w:szCs w:val="18"/>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
    <w:name w:val="彩色列表 - 着色 1"/>
    <w:basedOn w:val="a"/>
    <w:uiPriority w:val="34"/>
    <w:qFormat/>
    <w:pPr>
      <w:ind w:firstLineChars="200" w:firstLine="420"/>
    </w:pPr>
    <w:rPr>
      <w:rFonts w:cs="Times New Roman"/>
    </w:rPr>
  </w:style>
  <w:style w:type="paragraph" w:customStyle="1" w:styleId="-31">
    <w:name w:val="浅色网格 - 强调文字颜色 31"/>
    <w:basedOn w:val="a"/>
    <w:uiPriority w:val="34"/>
    <w:qFormat/>
    <w:pPr>
      <w:widowControl/>
      <w:ind w:firstLineChars="200" w:firstLine="420"/>
      <w:jc w:val="left"/>
    </w:pPr>
    <w:rPr>
      <w:rFonts w:ascii="Times New Roman" w:eastAsia="等线" w:hAnsi="Times New Roman"/>
      <w:kern w:val="0"/>
    </w:rPr>
  </w:style>
  <w:style w:type="paragraph" w:styleId="a9">
    <w:name w:val="List Paragraph"/>
    <w:basedOn w:val="a"/>
    <w:uiPriority w:val="99"/>
    <w:unhideWhenUsed/>
    <w:rsid w:val="00633FDB"/>
    <w:pPr>
      <w:ind w:firstLineChars="200" w:firstLine="420"/>
    </w:pPr>
  </w:style>
</w:styles>
</file>

<file path=word/webSettings.xml><?xml version="1.0" encoding="utf-8"?>
<w:webSettings xmlns:r="http://schemas.openxmlformats.org/officeDocument/2006/relationships" xmlns:w="http://schemas.openxmlformats.org/wordprocessingml/2006/main">
  <w:divs>
    <w:div w:id="852377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252</Words>
  <Characters>1438</Characters>
  <Application>Microsoft Office Word</Application>
  <DocSecurity>0</DocSecurity>
  <Lines>11</Lines>
  <Paragraphs>3</Paragraphs>
  <ScaleCrop>false</ScaleCrop>
  <Company>china</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lenovo</cp:lastModifiedBy>
  <cp:revision>3</cp:revision>
  <dcterms:created xsi:type="dcterms:W3CDTF">2020-02-21T08:33:00Z</dcterms:created>
  <dcterms:modified xsi:type="dcterms:W3CDTF">2020-02-21T08:34:00Z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